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44"/>
        <w:widowControl w:val="off"/>
        <w:rPr>
          <w:sz w:val="24"/>
        </w:rPr>
      </w:pPr>
      <w:r>
        <w:rPr>
          <w:sz w:val="24"/>
        </w:rPr>
        <w:t xml:space="preserve">Пояснительная записка</w:t>
      </w:r>
      <w:r>
        <w:rPr>
          <w:sz w:val="24"/>
        </w:rPr>
        <w:t xml:space="preserve"> </w:t>
      </w:r>
      <w:r>
        <w:rPr>
          <w:sz w:val="24"/>
        </w:rPr>
      </w:r>
      <w:r/>
    </w:p>
    <w:p>
      <w:pPr>
        <w:pStyle w:val="944"/>
        <w:widowControl w:val="off"/>
        <w:rPr>
          <w:sz w:val="24"/>
        </w:rPr>
      </w:pPr>
      <w:r>
        <w:rPr>
          <w:sz w:val="24"/>
        </w:rPr>
        <w:t xml:space="preserve">к проекту </w:t>
      </w:r>
      <w:r>
        <w:rPr>
          <w:sz w:val="24"/>
        </w:rPr>
        <w:t xml:space="preserve">Решения Совета депутатов </w:t>
      </w:r>
      <w:r/>
    </w:p>
    <w:p>
      <w:pPr>
        <w:pStyle w:val="944"/>
        <w:widowControl w:val="off"/>
        <w:rPr>
          <w:sz w:val="24"/>
        </w:rPr>
      </w:pPr>
      <w:r>
        <w:rPr>
          <w:sz w:val="24"/>
        </w:rPr>
        <w:t xml:space="preserve">Каргатского района</w:t>
      </w:r>
      <w:r>
        <w:rPr>
          <w:sz w:val="24"/>
        </w:rPr>
        <w:t xml:space="preserve"> Новосибирской области </w:t>
      </w:r>
      <w:r>
        <w:rPr>
          <w:sz w:val="24"/>
        </w:rPr>
      </w:r>
      <w:r/>
    </w:p>
    <w:p>
      <w:pPr>
        <w:pStyle w:val="944"/>
        <w:widowControl w:val="off"/>
        <w:rPr>
          <w:sz w:val="24"/>
        </w:rPr>
      </w:pPr>
      <w:r>
        <w:rPr>
          <w:sz w:val="24"/>
        </w:rPr>
        <w:t xml:space="preserve">«О внесении изменений в </w:t>
      </w:r>
      <w:r>
        <w:rPr>
          <w:sz w:val="24"/>
        </w:rPr>
        <w:t xml:space="preserve">Решение Совета депутатов Каргатского района </w:t>
      </w:r>
      <w:r>
        <w:rPr>
          <w:sz w:val="24"/>
        </w:rPr>
        <w:t xml:space="preserve">Новосибирской области </w:t>
      </w:r>
      <w:r>
        <w:rPr>
          <w:sz w:val="24"/>
        </w:rPr>
      </w:r>
      <w:r/>
    </w:p>
    <w:p>
      <w:pPr>
        <w:pStyle w:val="944"/>
        <w:widowControl w:val="off"/>
        <w:rPr>
          <w:sz w:val="24"/>
        </w:rPr>
      </w:pPr>
      <w:r>
        <w:rPr>
          <w:sz w:val="24"/>
        </w:rPr>
        <w:t xml:space="preserve">«О бюджете</w:t>
      </w:r>
      <w:r>
        <w:rPr>
          <w:sz w:val="24"/>
        </w:rPr>
        <w:t xml:space="preserve"> муниципального образования Каргатского района</w:t>
      </w:r>
      <w:r>
        <w:rPr>
          <w:sz w:val="24"/>
        </w:rPr>
        <w:t xml:space="preserve"> </w:t>
      </w:r>
      <w:r>
        <w:rPr>
          <w:sz w:val="24"/>
        </w:rPr>
        <w:t xml:space="preserve">Новосибирской области </w:t>
      </w:r>
      <w:r>
        <w:rPr>
          <w:sz w:val="24"/>
        </w:rPr>
        <w:t xml:space="preserve">на 20</w:t>
      </w:r>
      <w:r>
        <w:rPr>
          <w:sz w:val="24"/>
        </w:rPr>
        <w:t xml:space="preserve">25</w:t>
      </w:r>
      <w:r>
        <w:rPr>
          <w:sz w:val="24"/>
        </w:rPr>
        <w:t xml:space="preserve"> </w:t>
      </w:r>
      <w:r>
        <w:rPr>
          <w:sz w:val="24"/>
        </w:rPr>
        <w:t xml:space="preserve">год</w:t>
      </w:r>
      <w:r>
        <w:rPr>
          <w:sz w:val="24"/>
        </w:rPr>
        <w:t xml:space="preserve"> и плановый период 2026</w:t>
      </w:r>
      <w:r>
        <w:rPr>
          <w:sz w:val="24"/>
        </w:rPr>
        <w:t xml:space="preserve"> и 202</w:t>
      </w:r>
      <w:r>
        <w:rPr>
          <w:sz w:val="24"/>
        </w:rPr>
        <w:t xml:space="preserve">7</w:t>
      </w:r>
      <w:r>
        <w:rPr>
          <w:sz w:val="24"/>
        </w:rPr>
        <w:t xml:space="preserve"> годов</w:t>
      </w:r>
      <w:r>
        <w:rPr>
          <w:sz w:val="24"/>
        </w:rPr>
        <w:t xml:space="preserve">» </w:t>
      </w:r>
      <w:r>
        <w:rPr>
          <w:sz w:val="24"/>
        </w:rPr>
      </w:r>
      <w:r/>
    </w:p>
    <w:p>
      <w:pPr>
        <w:pStyle w:val="944"/>
        <w:widowControl w:val="off"/>
        <w:rPr>
          <w:sz w:val="24"/>
        </w:rPr>
      </w:pPr>
      <w:r>
        <w:rPr>
          <w:sz w:val="24"/>
        </w:rPr>
      </w:r>
      <w:r/>
    </w:p>
    <w:p>
      <w:pPr>
        <w:pStyle w:val="940"/>
        <w:ind w:firstLine="708"/>
        <w:jc w:val="both"/>
      </w:pPr>
      <w:r>
        <w:t xml:space="preserve">П</w:t>
      </w:r>
      <w:r>
        <w:t xml:space="preserve">роект </w:t>
      </w:r>
      <w:r>
        <w:t xml:space="preserve">решения «О внесении изменений в Решение Совета депутатов </w:t>
      </w:r>
      <w:r/>
    </w:p>
    <w:p>
      <w:pPr>
        <w:pStyle w:val="940"/>
        <w:jc w:val="both"/>
      </w:pPr>
      <w:r>
        <w:t xml:space="preserve">Каргатского района Но</w:t>
      </w:r>
      <w:r>
        <w:t xml:space="preserve">восибирской области «О бюджете муниципального </w:t>
      </w:r>
      <w:r>
        <w:t xml:space="preserve">образования Каргатского района </w:t>
      </w:r>
      <w:r>
        <w:t xml:space="preserve">Новосибирской области </w:t>
      </w:r>
      <w:r>
        <w:t xml:space="preserve">на 20</w:t>
      </w:r>
      <w:r>
        <w:t xml:space="preserve">25</w:t>
      </w:r>
      <w:r>
        <w:t xml:space="preserve"> год</w:t>
      </w:r>
      <w:r>
        <w:t xml:space="preserve"> и плановый период 2026 и 2027</w:t>
      </w:r>
      <w:r>
        <w:t xml:space="preserve"> годов</w:t>
      </w:r>
      <w:r>
        <w:t xml:space="preserve">» </w:t>
      </w:r>
      <w:r>
        <w:t xml:space="preserve">вносится для рассмот</w:t>
      </w:r>
      <w:r>
        <w:t xml:space="preserve">рения в </w:t>
      </w:r>
      <w:r>
        <w:t xml:space="preserve">Совет депутатов</w:t>
      </w:r>
      <w:r>
        <w:t xml:space="preserve"> Каргатского района</w:t>
      </w:r>
      <w:r>
        <w:t xml:space="preserve"> в соответствии со статьей </w:t>
      </w:r>
      <w:r>
        <w:t xml:space="preserve">23</w:t>
      </w:r>
      <w:r>
        <w:t xml:space="preserve"> </w:t>
      </w:r>
      <w:r>
        <w:t xml:space="preserve">Решения Совета депутатов Каргатского района</w:t>
      </w:r>
      <w:r>
        <w:t xml:space="preserve"> «О</w:t>
      </w:r>
      <w:r>
        <w:t xml:space="preserve">б утверждении Положения </w:t>
      </w:r>
      <w:r>
        <w:t xml:space="preserve">«О</w:t>
      </w:r>
      <w:r>
        <w:t xml:space="preserve"> бюджетном процессе в</w:t>
      </w:r>
      <w:r>
        <w:t xml:space="preserve"> Каргатском районе</w:t>
      </w:r>
      <w:r>
        <w:t xml:space="preserve">». </w:t>
      </w:r>
      <w:r/>
    </w:p>
    <w:p>
      <w:pPr>
        <w:pStyle w:val="944"/>
        <w:jc w:val="both"/>
        <w:widowControl w:val="off"/>
        <w:rPr>
          <w:bCs w:val="0"/>
          <w:sz w:val="24"/>
        </w:rPr>
      </w:pPr>
      <w:r>
        <w:rPr>
          <w:b w:val="0"/>
          <w:sz w:val="24"/>
        </w:rPr>
        <w:t xml:space="preserve">           </w:t>
      </w:r>
      <w:r>
        <w:rPr>
          <w:b w:val="0"/>
          <w:sz w:val="24"/>
        </w:rPr>
        <w:t xml:space="preserve">Внесение изменений в </w:t>
      </w:r>
      <w:r>
        <w:rPr>
          <w:b w:val="0"/>
          <w:sz w:val="24"/>
        </w:rPr>
        <w:t xml:space="preserve">Решение Совета депутатов </w:t>
      </w:r>
      <w:r>
        <w:rPr>
          <w:b w:val="0"/>
          <w:sz w:val="24"/>
        </w:rPr>
        <w:t xml:space="preserve">«О</w:t>
      </w:r>
      <w:r>
        <w:rPr>
          <w:b w:val="0"/>
          <w:sz w:val="24"/>
        </w:rPr>
        <w:t xml:space="preserve"> </w:t>
      </w:r>
      <w:r>
        <w:rPr>
          <w:b w:val="0"/>
          <w:sz w:val="24"/>
        </w:rPr>
        <w:t xml:space="preserve">бюджете</w:t>
      </w:r>
      <w:r>
        <w:rPr>
          <w:b w:val="0"/>
          <w:sz w:val="24"/>
        </w:rPr>
        <w:t xml:space="preserve"> муниципального образования Каргатского района </w:t>
      </w:r>
      <w:r>
        <w:rPr>
          <w:b w:val="0"/>
          <w:sz w:val="24"/>
        </w:rPr>
        <w:t xml:space="preserve">на 20</w:t>
      </w:r>
      <w:r>
        <w:rPr>
          <w:b w:val="0"/>
          <w:sz w:val="24"/>
        </w:rPr>
        <w:t xml:space="preserve">25</w:t>
      </w:r>
      <w:r>
        <w:rPr>
          <w:b w:val="0"/>
          <w:sz w:val="24"/>
        </w:rPr>
        <w:t xml:space="preserve"> год</w:t>
      </w:r>
      <w:r>
        <w:rPr>
          <w:b w:val="0"/>
          <w:sz w:val="24"/>
        </w:rPr>
        <w:t xml:space="preserve"> и плановый период 2026 и 2027</w:t>
      </w:r>
      <w:r>
        <w:rPr>
          <w:b w:val="0"/>
          <w:sz w:val="24"/>
        </w:rPr>
        <w:t xml:space="preserve"> годов</w:t>
      </w:r>
      <w:r>
        <w:rPr>
          <w:b w:val="0"/>
          <w:sz w:val="24"/>
        </w:rPr>
        <w:t xml:space="preserve">» связано с</w:t>
      </w:r>
      <w:r>
        <w:rPr>
          <w:b w:val="0"/>
          <w:sz w:val="24"/>
        </w:rPr>
        <w:t xml:space="preserve"> </w:t>
      </w:r>
      <w:r>
        <w:rPr>
          <w:b w:val="0"/>
          <w:bCs w:val="0"/>
          <w:sz w:val="24"/>
        </w:rPr>
        <w:t xml:space="preserve">распределением</w:t>
      </w:r>
      <w:r>
        <w:rPr>
          <w:b w:val="0"/>
          <w:bCs w:val="0"/>
          <w:sz w:val="24"/>
        </w:rPr>
        <w:t xml:space="preserve"> свободного остатка</w:t>
      </w:r>
      <w:r>
        <w:rPr>
          <w:b w:val="0"/>
          <w:bCs w:val="0"/>
          <w:sz w:val="24"/>
        </w:rPr>
        <w:t xml:space="preserve"> бюджетных средств на 01.01.2025</w:t>
      </w:r>
      <w:r>
        <w:rPr>
          <w:b w:val="0"/>
          <w:bCs w:val="0"/>
          <w:sz w:val="24"/>
        </w:rPr>
        <w:t xml:space="preserve"> года</w:t>
      </w:r>
      <w:r>
        <w:rPr>
          <w:b w:val="0"/>
          <w:bCs w:val="0"/>
          <w:sz w:val="24"/>
        </w:rPr>
        <w:t xml:space="preserve">, а также внутренними передвижками.</w:t>
      </w:r>
      <w:r>
        <w:rPr>
          <w:bCs w:val="0"/>
          <w:sz w:val="24"/>
        </w:rPr>
      </w:r>
      <w:r/>
    </w:p>
    <w:p>
      <w:pPr>
        <w:pStyle w:val="944"/>
        <w:widowControl w:val="off"/>
        <w:rPr>
          <w:bCs w:val="0"/>
          <w:sz w:val="24"/>
        </w:rPr>
      </w:pPr>
      <w:r>
        <w:rPr>
          <w:bCs w:val="0"/>
          <w:sz w:val="24"/>
        </w:rPr>
      </w:r>
      <w:r/>
    </w:p>
    <w:p>
      <w:pPr>
        <w:pStyle w:val="944"/>
        <w:widowControl w:val="off"/>
        <w:rPr>
          <w:bCs w:val="0"/>
          <w:sz w:val="24"/>
        </w:rPr>
      </w:pPr>
      <w:r>
        <w:rPr>
          <w:bCs w:val="0"/>
          <w:sz w:val="24"/>
        </w:rPr>
        <w:t xml:space="preserve">Изменения расходной части бюджета</w:t>
      </w:r>
      <w:r>
        <w:rPr>
          <w:bCs w:val="0"/>
          <w:sz w:val="24"/>
        </w:rPr>
      </w:r>
      <w:r/>
    </w:p>
    <w:p>
      <w:pPr>
        <w:pStyle w:val="944"/>
        <w:widowControl w:val="off"/>
        <w:rPr>
          <w:bCs w:val="0"/>
          <w:sz w:val="24"/>
        </w:rPr>
      </w:pPr>
      <w:r>
        <w:rPr>
          <w:bCs w:val="0"/>
          <w:sz w:val="24"/>
        </w:rPr>
      </w:r>
      <w:r/>
    </w:p>
    <w:p>
      <w:pPr>
        <w:pStyle w:val="940"/>
        <w:ind w:firstLine="720"/>
        <w:jc w:val="both"/>
        <w:shd w:val="clear" w:color="auto" w:fill="ffffff"/>
        <w:widowControl w:val="off"/>
        <w:rPr>
          <w:bCs/>
        </w:rPr>
      </w:pPr>
      <w:r>
        <w:rPr>
          <w:bCs/>
        </w:rPr>
        <w:t xml:space="preserve">В представленном проекте </w:t>
      </w:r>
      <w:r>
        <w:rPr>
          <w:bCs/>
        </w:rPr>
        <w:t xml:space="preserve">решения</w:t>
      </w:r>
      <w:r>
        <w:rPr>
          <w:bCs/>
        </w:rPr>
        <w:t xml:space="preserve"> </w:t>
      </w:r>
      <w:r>
        <w:rPr>
          <w:bCs/>
        </w:rPr>
        <w:t xml:space="preserve">расходы </w:t>
      </w:r>
      <w:r>
        <w:rPr>
          <w:bCs/>
        </w:rPr>
        <w:t xml:space="preserve">бюдж</w:t>
      </w:r>
      <w:r>
        <w:rPr>
          <w:bCs/>
        </w:rPr>
        <w:t xml:space="preserve">ета на 2024</w:t>
      </w:r>
      <w:r>
        <w:rPr>
          <w:bCs/>
        </w:rPr>
        <w:t xml:space="preserve"> год увеличиваются </w:t>
      </w:r>
      <w:r>
        <w:rPr>
          <w:bCs/>
        </w:rPr>
        <w:t xml:space="preserve"> </w:t>
      </w:r>
      <w:r>
        <w:rPr>
          <w:bCs/>
        </w:rPr>
        <w:t xml:space="preserve"> на </w:t>
      </w:r>
      <w:r>
        <w:rPr>
          <w:b/>
          <w:bCs/>
        </w:rPr>
        <w:t xml:space="preserve">14990,6 тыс.рублей</w:t>
      </w:r>
      <w:r>
        <w:rPr>
          <w:bCs/>
        </w:rPr>
        <w:t xml:space="preserve"> и </w:t>
      </w:r>
      <w:r>
        <w:rPr>
          <w:bCs/>
        </w:rPr>
        <w:t xml:space="preserve">состав</w:t>
      </w:r>
      <w:r>
        <w:rPr>
          <w:bCs/>
        </w:rPr>
        <w:t xml:space="preserve">ят</w:t>
      </w:r>
      <w:r>
        <w:rPr>
          <w:bCs/>
        </w:rPr>
        <w:t xml:space="preserve"> </w:t>
      </w:r>
      <w:r>
        <w:rPr>
          <w:b/>
          <w:bCs/>
        </w:rPr>
        <w:t xml:space="preserve">1792783,6</w:t>
      </w:r>
      <w:r>
        <w:rPr>
          <w:bCs/>
        </w:rPr>
        <w:t xml:space="preserve"> </w:t>
      </w:r>
      <w:r>
        <w:rPr>
          <w:b/>
          <w:bCs/>
        </w:rPr>
        <w:t xml:space="preserve">тыс. рублей</w:t>
      </w:r>
      <w:r>
        <w:rPr>
          <w:bCs/>
        </w:rPr>
        <w:t xml:space="preserve">.</w:t>
      </w:r>
      <w:r>
        <w:rPr>
          <w:bCs/>
        </w:rPr>
      </w:r>
      <w:r/>
    </w:p>
    <w:p>
      <w:pPr>
        <w:pStyle w:val="940"/>
        <w:ind w:firstLine="720"/>
        <w:jc w:val="both"/>
        <w:shd w:val="clear" w:color="auto" w:fill="ffffff"/>
        <w:widowControl w:val="off"/>
        <w:rPr>
          <w:bCs/>
        </w:rPr>
      </w:pPr>
      <w:r>
        <w:rPr>
          <w:bCs/>
        </w:rPr>
      </w:r>
      <w:r/>
    </w:p>
    <w:p>
      <w:pPr>
        <w:pStyle w:val="940"/>
        <w:ind w:firstLine="720"/>
        <w:jc w:val="both"/>
        <w:shd w:val="clear" w:color="auto" w:fill="ffffff"/>
        <w:widowControl w:val="off"/>
        <w:rPr>
          <w:bCs/>
          <w:i/>
          <w:u w:val="single"/>
        </w:rPr>
      </w:pPr>
      <w:r>
        <w:rPr>
          <w:bCs/>
          <w:i/>
          <w:u w:val="single"/>
        </w:rPr>
        <w:t xml:space="preserve">Источниками изменения</w:t>
      </w:r>
      <w:r>
        <w:rPr>
          <w:bCs/>
          <w:i/>
          <w:u w:val="single"/>
        </w:rPr>
        <w:t xml:space="preserve"> расходной ча</w:t>
      </w:r>
      <w:r>
        <w:rPr>
          <w:bCs/>
          <w:i/>
          <w:u w:val="single"/>
        </w:rPr>
        <w:t xml:space="preserve">сти бюджета в 2025</w:t>
      </w:r>
      <w:r>
        <w:rPr>
          <w:bCs/>
          <w:i/>
          <w:u w:val="single"/>
        </w:rPr>
        <w:t xml:space="preserve"> году являются:</w:t>
      </w:r>
      <w:r>
        <w:rPr>
          <w:bCs/>
          <w:i/>
          <w:u w:val="single"/>
        </w:rPr>
      </w:r>
      <w:r/>
    </w:p>
    <w:p>
      <w:pPr>
        <w:pStyle w:val="940"/>
        <w:ind w:firstLine="720"/>
        <w:jc w:val="both"/>
        <w:shd w:val="clear" w:color="auto" w:fill="ffffff"/>
        <w:widowControl w:val="off"/>
        <w:rPr>
          <w:bCs/>
          <w:i/>
          <w:u w:val="single"/>
        </w:rPr>
      </w:pPr>
      <w:r>
        <w:rPr>
          <w:bCs/>
          <w:i/>
          <w:u w:val="single"/>
        </w:rPr>
      </w:r>
      <w:r/>
    </w:p>
    <w:p>
      <w:pPr>
        <w:pStyle w:val="940"/>
        <w:numPr>
          <w:ilvl w:val="0"/>
          <w:numId w:val="41"/>
        </w:numPr>
        <w:jc w:val="both"/>
        <w:shd w:val="clear" w:color="auto" w:fill="ffffff"/>
        <w:widowControl w:val="off"/>
        <w:rPr>
          <w:bCs/>
        </w:rPr>
      </w:pPr>
      <w:r>
        <w:t xml:space="preserve">Остаток собственных средств районного бюджета </w:t>
      </w:r>
      <w:r>
        <w:t xml:space="preserve">на 01.01.2025г, который распределен на дополнительные расходы </w:t>
      </w:r>
      <w:r>
        <w:t xml:space="preserve">в сумме </w:t>
      </w:r>
      <w:r>
        <w:rPr>
          <w:b/>
        </w:rPr>
        <w:t xml:space="preserve">14990,6 тыс.рублей</w:t>
      </w:r>
      <w:r>
        <w:rPr>
          <w:b/>
        </w:rPr>
        <w:t xml:space="preserve"> </w:t>
      </w:r>
      <w:r>
        <w:t xml:space="preserve">и направляется</w:t>
      </w:r>
      <w:r>
        <w:rPr>
          <w:b/>
        </w:rPr>
        <w:t xml:space="preserve"> </w:t>
      </w:r>
      <w:r>
        <w:t xml:space="preserve">на:</w:t>
      </w:r>
      <w:r>
        <w:rPr>
          <w:bCs/>
        </w:rPr>
      </w:r>
      <w:r/>
    </w:p>
    <w:p>
      <w:pPr>
        <w:pStyle w:val="940"/>
        <w:ind w:left="720"/>
        <w:jc w:val="both"/>
        <w:shd w:val="clear" w:color="auto" w:fill="ffffff"/>
        <w:widowControl w:val="off"/>
      </w:pPr>
      <w:r/>
      <w:r/>
    </w:p>
    <w:p>
      <w:pPr>
        <w:pStyle w:val="940"/>
        <w:numPr>
          <w:ilvl w:val="1"/>
          <w:numId w:val="41"/>
        </w:numPr>
        <w:jc w:val="both"/>
        <w:shd w:val="clear" w:color="auto" w:fill="ffffff"/>
        <w:widowControl w:val="off"/>
        <w:rPr>
          <w:bCs/>
          <w:i/>
          <w:u w:val="single"/>
        </w:rPr>
      </w:pPr>
      <w:r>
        <w:t xml:space="preserve">увеличение бюджетных ассигнований по РПР 0701 «Дошкольное образование» и 0702 «Общее образование» </w:t>
      </w:r>
      <w:r>
        <w:t xml:space="preserve">(о</w:t>
      </w:r>
      <w:r>
        <w:t xml:space="preserve">стат</w:t>
      </w:r>
      <w:r>
        <w:t xml:space="preserve">о</w:t>
      </w:r>
      <w:r>
        <w:t xml:space="preserve">к не использованных средств – родительской платы за питание детей</w:t>
      </w:r>
      <w:r>
        <w:t xml:space="preserve"> в детских садах и школах в 2024 году) –1966,4 </w:t>
      </w:r>
      <w:r>
        <w:t xml:space="preserve">тыс.рублей и по РПР 1002 «Социальное обслуживание населения» </w:t>
      </w:r>
      <w:r>
        <w:t xml:space="preserve">(</w:t>
      </w:r>
      <w:r>
        <w:t xml:space="preserve">остат</w:t>
      </w:r>
      <w:r>
        <w:t xml:space="preserve">о</w:t>
      </w:r>
      <w:r>
        <w:t xml:space="preserve">к неиспользованных средств по оплате за предоставленные социальные услуги гражданам пожилого возраста и инвалидам в 202</w:t>
      </w:r>
      <w:r>
        <w:t xml:space="preserve">4 году) – 635,1</w:t>
      </w:r>
      <w:r>
        <w:t xml:space="preserve"> тыс.рублей;</w:t>
      </w:r>
      <w:r>
        <w:rPr>
          <w:bCs/>
          <w:i/>
          <w:u w:val="single"/>
        </w:rPr>
      </w:r>
      <w:r/>
    </w:p>
    <w:p>
      <w:pPr>
        <w:pStyle w:val="940"/>
        <w:numPr>
          <w:ilvl w:val="1"/>
          <w:numId w:val="41"/>
        </w:numPr>
        <w:jc w:val="both"/>
        <w:shd w:val="clear" w:color="auto" w:fill="ffffff"/>
        <w:widowControl w:val="off"/>
        <w:rPr>
          <w:bCs/>
          <w:i/>
          <w:u w:val="single"/>
        </w:rPr>
      </w:pPr>
      <w:r>
        <w:rPr>
          <w:bCs/>
        </w:rPr>
        <w:t xml:space="preserve">увеличение бюджетных ассигнован</w:t>
      </w:r>
      <w:r>
        <w:rPr>
          <w:bCs/>
        </w:rPr>
        <w:t xml:space="preserve">ий </w:t>
      </w:r>
      <w:r>
        <w:rPr>
          <w:bCs/>
        </w:rPr>
        <w:t xml:space="preserve">Администраци</w:t>
      </w:r>
      <w:r>
        <w:rPr>
          <w:bCs/>
        </w:rPr>
        <w:t xml:space="preserve">и Каргатского района в сумме 260,0</w:t>
      </w:r>
      <w:r>
        <w:rPr>
          <w:bCs/>
        </w:rPr>
        <w:t xml:space="preserve"> тыс.рублей</w:t>
      </w:r>
      <w:r>
        <w:rPr>
          <w:bCs/>
        </w:rPr>
        <w:t xml:space="preserve"> </w:t>
      </w:r>
      <w:r>
        <w:rPr>
          <w:bCs/>
        </w:rPr>
        <w:t xml:space="preserve">для выплаты</w:t>
      </w:r>
      <w:r>
        <w:rPr>
          <w:bCs/>
        </w:rPr>
        <w:t xml:space="preserve"> предстоящих</w:t>
      </w:r>
      <w:r>
        <w:rPr>
          <w:bCs/>
        </w:rPr>
        <w:t xml:space="preserve"> командировочных р</w:t>
      </w:r>
      <w:r>
        <w:rPr>
          <w:bCs/>
        </w:rPr>
        <w:t xml:space="preserve">асходов муниципальных служащих в соответствии графиком прохождени</w:t>
      </w:r>
      <w:r>
        <w:rPr>
          <w:bCs/>
        </w:rPr>
        <w:t xml:space="preserve">я курсов повышения квалификации</w:t>
      </w:r>
      <w:r>
        <w:rPr>
          <w:bCs/>
        </w:rPr>
        <w:t xml:space="preserve">;</w:t>
      </w:r>
      <w:r>
        <w:rPr>
          <w:bCs/>
        </w:rPr>
        <w:t xml:space="preserve"> в сумме 525,0 тыс.рублей для аттестации выделенного помещения №16 администрации Каргатского района; в сумме 2382,6 тыс.рублей на оплату за монтаж АПС в здании администрации Каргатского района </w:t>
      </w:r>
      <w:r>
        <w:rPr>
          <w:bCs/>
        </w:rPr>
        <w:t xml:space="preserve">(РПР 0104 «Функционирование Правительства Российской Федерации, высших исполнительных органов субъектов Российской Федерации, местных администраций»)</w:t>
      </w:r>
      <w:r>
        <w:rPr>
          <w:bCs/>
        </w:rPr>
        <w:t xml:space="preserve">;</w:t>
      </w:r>
      <w:r>
        <w:rPr>
          <w:bCs/>
          <w:i/>
          <w:u w:val="single"/>
        </w:rPr>
      </w:r>
      <w:r/>
    </w:p>
    <w:p>
      <w:pPr>
        <w:pStyle w:val="940"/>
        <w:numPr>
          <w:ilvl w:val="1"/>
          <w:numId w:val="41"/>
        </w:numPr>
        <w:jc w:val="both"/>
        <w:shd w:val="clear" w:color="auto" w:fill="ffffff"/>
        <w:widowControl w:val="off"/>
        <w:rPr>
          <w:bCs/>
          <w:i/>
          <w:u w:val="single"/>
        </w:rPr>
      </w:pPr>
      <w:r>
        <w:rPr>
          <w:bCs/>
        </w:rPr>
        <w:t xml:space="preserve">увеличение бюджетных ассигнований МКОУ ДОД Дет</w:t>
      </w:r>
      <w:r>
        <w:rPr>
          <w:bCs/>
        </w:rPr>
        <w:t xml:space="preserve">ская школа искусств в сумме 58,7</w:t>
      </w:r>
      <w:r>
        <w:rPr>
          <w:bCs/>
        </w:rPr>
        <w:t xml:space="preserve"> тыс.рублей </w:t>
      </w:r>
      <w:r>
        <w:rPr>
          <w:bCs/>
        </w:rPr>
        <w:t xml:space="preserve">на установку системы звукового оповещения</w:t>
      </w:r>
      <w:r>
        <w:rPr>
          <w:bCs/>
        </w:rPr>
        <w:t xml:space="preserve"> (РПР 0703 «Дополнительное образование детей»);</w:t>
      </w:r>
      <w:r>
        <w:rPr>
          <w:bCs/>
          <w:i/>
          <w:u w:val="single"/>
        </w:rPr>
      </w:r>
      <w:r/>
    </w:p>
    <w:p>
      <w:pPr>
        <w:pStyle w:val="940"/>
        <w:numPr>
          <w:ilvl w:val="1"/>
          <w:numId w:val="41"/>
        </w:numPr>
        <w:jc w:val="both"/>
        <w:shd w:val="clear" w:color="auto" w:fill="ffffff"/>
        <w:widowControl w:val="off"/>
        <w:rPr>
          <w:bCs/>
          <w:i/>
          <w:u w:val="single"/>
        </w:rPr>
      </w:pPr>
      <w:r>
        <w:rPr>
          <w:bCs/>
        </w:rPr>
        <w:t xml:space="preserve">увеличение бюджетных ассигнований МКУ «</w:t>
      </w:r>
      <w:r>
        <w:rPr>
          <w:bCs/>
        </w:rPr>
        <w:t xml:space="preserve">АХЦ Каргатского района» в сумме 187,0 тыс.рублей на оказание ритуальных услуг лицам, не имеющих </w:t>
      </w:r>
      <w:r>
        <w:rPr>
          <w:bCs/>
        </w:rPr>
        <w:t xml:space="preserve">родственников. (РПР 0113 «Другие общегосударственные расходы»);</w:t>
      </w:r>
      <w:r>
        <w:rPr>
          <w:bCs/>
          <w:i/>
          <w:u w:val="single"/>
        </w:rPr>
      </w:r>
      <w:r/>
    </w:p>
    <w:p>
      <w:pPr>
        <w:pStyle w:val="940"/>
        <w:numPr>
          <w:ilvl w:val="1"/>
          <w:numId w:val="41"/>
        </w:numPr>
        <w:jc w:val="both"/>
        <w:shd w:val="clear" w:color="auto" w:fill="ffffff"/>
        <w:widowControl w:val="off"/>
        <w:rPr>
          <w:bCs/>
          <w:i/>
          <w:u w:val="single"/>
        </w:rPr>
      </w:pPr>
      <w:r>
        <w:rPr>
          <w:bCs/>
        </w:rPr>
        <w:t xml:space="preserve">увеличение бюджетных ассигнований по РПР 0702 «Общее образование» на подвоз обучающихся в образовательных организациях в связи с увеличением тарифа с 1 января 2025 года в общей сумме 5525,6 тыс.рублей;</w:t>
      </w:r>
      <w:r>
        <w:rPr>
          <w:bCs/>
          <w:i/>
          <w:u w:val="single"/>
        </w:rPr>
      </w:r>
      <w:r/>
    </w:p>
    <w:p>
      <w:pPr>
        <w:pStyle w:val="940"/>
        <w:numPr>
          <w:ilvl w:val="1"/>
          <w:numId w:val="41"/>
        </w:numPr>
        <w:jc w:val="both"/>
        <w:shd w:val="clear" w:color="auto" w:fill="ffffff"/>
        <w:widowControl w:val="off"/>
        <w:rPr>
          <w:bCs/>
          <w:i/>
          <w:u w:val="single"/>
        </w:rPr>
      </w:pPr>
      <w:r>
        <w:rPr>
          <w:bCs/>
        </w:rPr>
        <w:t xml:space="preserve">увеличение бюджетных ассигнований МКУК «Каргатская ЦБС»</w:t>
      </w:r>
      <w:r>
        <w:rPr>
          <w:bCs/>
        </w:rPr>
        <w:t xml:space="preserve"> </w:t>
      </w:r>
      <w:r>
        <w:rPr>
          <w:bCs/>
        </w:rPr>
        <w:t xml:space="preserve"> </w:t>
      </w:r>
      <w:r>
        <w:rPr>
          <w:bCs/>
        </w:rPr>
        <w:t xml:space="preserve">для оплаты МК 2024 года по капитальному ремонту здания в части софинансирования из районного бюджета на средства из областного бюджета в сумме 328,3 тыс.рублей, а также </w:t>
      </w:r>
      <w:r>
        <w:rPr>
          <w:bCs/>
          <w:i w:val="0"/>
          <w:iCs w:val="0"/>
          <w:highlight w:val="none"/>
          <w:u w:val="none"/>
        </w:rPr>
        <w:t xml:space="preserve">в сумме 80,0 тыс.рублей на проведение монтажных работ по восстановлению широкополостного интернета в здании</w:t>
      </w:r>
      <w:r>
        <w:rPr>
          <w:bCs/>
        </w:rPr>
        <w:t xml:space="preserve"> (РПР 0801 «Культура»);</w:t>
      </w:r>
      <w:r>
        <w:rPr>
          <w:bCs/>
          <w:i/>
          <w:u w:val="single"/>
        </w:rPr>
      </w:r>
      <w:r/>
    </w:p>
    <w:p>
      <w:pPr>
        <w:numPr>
          <w:ilvl w:val="1"/>
          <w:numId w:val="41"/>
        </w:numPr>
        <w:jc w:val="both"/>
        <w:shd w:val="clear" w:color="auto" w:fill="ffffff"/>
        <w:widowControl w:val="off"/>
      </w:pPr>
      <w:r>
        <w:rPr>
          <w:bCs/>
          <w:i/>
          <w:highlight w:val="none"/>
          <w:u w:val="single"/>
        </w:rPr>
      </w:r>
      <w:r>
        <w:rPr>
          <w:bCs/>
          <w:i w:val="0"/>
          <w:iCs w:val="0"/>
          <w:u w:val="none"/>
        </w:rPr>
        <w:t xml:space="preserve">увеличение бюджетных ассигнований МКОУ КСШ №1 и МКОУ КСШ №2 на оплату экспертизы ПСД на замену оконных блоков и восстановление строительных конструкций после демонтажа аварийной части здания МКОУ КСШ№2 в общей сумме 400,0</w:t>
      </w:r>
      <w:r>
        <w:t xml:space="preserve"> тыс.рублей (РПР 0702 «Общее образование»);</w:t>
      </w:r>
      <w:r>
        <w:rPr>
          <w:bCs/>
          <w:i/>
          <w:u w:val="single"/>
        </w:rPr>
      </w:r>
      <w:r/>
    </w:p>
    <w:p>
      <w:pPr>
        <w:numPr>
          <w:ilvl w:val="1"/>
          <w:numId w:val="41"/>
        </w:numPr>
        <w:jc w:val="both"/>
        <w:shd w:val="clear" w:color="auto" w:fill="ffffff"/>
        <w:widowControl w:val="off"/>
      </w:pPr>
      <w:r>
        <w:rPr>
          <w:bCs/>
          <w:i/>
          <w:highlight w:val="none"/>
          <w:u w:val="single"/>
        </w:rPr>
        <w:t xml:space="preserve"> </w:t>
      </w:r>
      <w:r>
        <w:rPr>
          <w:bCs/>
          <w:i w:val="0"/>
          <w:iCs w:val="0"/>
          <w:highlight w:val="none"/>
          <w:u w:val="none"/>
        </w:rPr>
        <w:t xml:space="preserve">увеличение БА администрации Каргатского района для предоставления субсидии на иные цели </w:t>
      </w:r>
      <w:r>
        <w:t xml:space="preserve">МБУ ДО Каргатская детско-юношеская спортивная школа «Атлант» и МБУ ДО Каргатский дом детского творчеств</w:t>
      </w:r>
      <w:r>
        <w:t xml:space="preserve">а</w:t>
      </w:r>
      <w:r>
        <w:rPr>
          <w:bCs/>
          <w:i w:val="0"/>
          <w:iCs w:val="0"/>
          <w:highlight w:val="none"/>
          <w:u w:val="none"/>
        </w:rPr>
        <w:t xml:space="preserve"> </w:t>
      </w:r>
      <w:r>
        <w:rPr>
          <w:bCs/>
          <w:i w:val="0"/>
          <w:iCs w:val="0"/>
          <w:highlight w:val="none"/>
          <w:u w:val="none"/>
        </w:rPr>
        <w:t xml:space="preserve">в рамках МП «</w:t>
      </w:r>
      <w:r>
        <w:rPr>
          <w:bCs/>
          <w:i w:val="0"/>
          <w:iCs w:val="0"/>
          <w:highlight w:val="none"/>
          <w:u w:val="none"/>
        </w:rPr>
        <w:t xml:space="preserve">Развитие физической культуры и спорта в Каргатском районе Новосибирской области на 2021-2026 годы"</w:t>
      </w:r>
      <w:r>
        <w:rPr>
          <w:bCs/>
          <w:i w:val="0"/>
          <w:iCs w:val="0"/>
          <w:highlight w:val="none"/>
          <w:u w:val="none"/>
        </w:rPr>
        <w:t xml:space="preserve"> на проведение зимней Спартакиады пенсионеров в общей сумме 131,7 тыс.рублей (РПР 1102 «Физкультура и спорт»);</w:t>
      </w:r>
      <w:r/>
    </w:p>
    <w:p>
      <w:pPr>
        <w:numPr>
          <w:ilvl w:val="1"/>
          <w:numId w:val="41"/>
        </w:numPr>
        <w:jc w:val="both"/>
        <w:shd w:val="clear" w:color="auto" w:fill="ffffff"/>
        <w:widowControl w:val="off"/>
        <w:rPr>
          <w:bCs/>
          <w:i/>
          <w:u w:val="single"/>
        </w:rPr>
      </w:pPr>
      <w:r>
        <w:t xml:space="preserve">предоставлени</w:t>
      </w:r>
      <w:r>
        <w:t xml:space="preserve">е</w:t>
      </w:r>
      <w:r>
        <w:t xml:space="preserve"> ИМБТ МО г.Каргата </w:t>
      </w:r>
      <w:r>
        <w:t xml:space="preserve">на ремонта </w:t>
      </w:r>
      <w:r>
        <w:t xml:space="preserve">здания по ул.Октябрьская</w:t>
      </w:r>
      <w:r>
        <w:t xml:space="preserve">,4 в с</w:t>
      </w:r>
      <w:r>
        <w:t xml:space="preserve">умме 2510,2 тыс.рублей (РПР 1403</w:t>
      </w:r>
      <w:r>
        <w:t xml:space="preserve"> «</w:t>
      </w:r>
      <w:r>
        <w:rPr>
          <w:bCs/>
        </w:rPr>
        <w:t xml:space="preserve">Прочие межбюджетные трансферты общего характера</w:t>
      </w:r>
      <w:r>
        <w:rPr>
          <w:bCs/>
        </w:rPr>
        <w:t xml:space="preserve">»). </w:t>
      </w:r>
      <w:r>
        <w:rPr>
          <w:bCs/>
          <w:i/>
          <w:iCs/>
        </w:rPr>
        <w:t xml:space="preserve">Приложение № 19 «</w:t>
      </w:r>
      <w:r>
        <w:rPr>
          <w:bCs/>
          <w:i/>
          <w:iCs/>
        </w:rPr>
        <w:t xml:space="preserve">Распределение иных межбюджетных трансфертов, передаваемых бюджетам поселений, входящих в состав Каргатского района на 2025 год». </w:t>
      </w:r>
      <w:r>
        <w:rPr>
          <w:i/>
          <w:iCs/>
        </w:rPr>
      </w:r>
      <w:r/>
    </w:p>
    <w:p>
      <w:pPr>
        <w:pStyle w:val="940"/>
        <w:jc w:val="both"/>
      </w:pPr>
      <w:r/>
      <w:r/>
    </w:p>
    <w:p>
      <w:pPr>
        <w:pStyle w:val="940"/>
        <w:jc w:val="both"/>
        <w:rPr>
          <w:highlight w:val="white"/>
        </w:rPr>
      </w:pPr>
      <w:r>
        <w:t xml:space="preserve">        </w:t>
      </w:r>
      <w:r>
        <w:rPr>
          <w:highlight w:val="white"/>
        </w:rPr>
        <w:t xml:space="preserve"> </w:t>
      </w:r>
      <w:r>
        <w:rPr>
          <w:highlight w:val="white"/>
          <w:u w:val="single"/>
        </w:rPr>
        <w:t xml:space="preserve">Внутренние передвижки</w:t>
      </w:r>
      <w:r>
        <w:rPr>
          <w:highlight w:val="white"/>
        </w:rPr>
        <w:t xml:space="preserve"> в бюджете Ка</w:t>
      </w:r>
      <w:r>
        <w:rPr>
          <w:highlight w:val="white"/>
        </w:rPr>
        <w:t xml:space="preserve">ргатского района связаны:</w:t>
      </w:r>
      <w:r>
        <w:rPr>
          <w:highlight w:val="white"/>
        </w:rPr>
      </w:r>
      <w:r/>
    </w:p>
    <w:p>
      <w:pPr>
        <w:pStyle w:val="940"/>
        <w:jc w:val="both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/>
    </w:p>
    <w:p>
      <w:pPr>
        <w:pStyle w:val="940"/>
        <w:numPr>
          <w:ilvl w:val="0"/>
          <w:numId w:val="43"/>
        </w:numPr>
        <w:jc w:val="both"/>
      </w:pPr>
      <w:r>
        <w:t xml:space="preserve">с необходимостью выделения из резервного фонда Администрации Каргатского района бюджетных ассигнований Администрации Каргатского района для заключения муниципального контракта на организацию погребения погибши</w:t>
      </w:r>
      <w:r>
        <w:t xml:space="preserve">х участников СВО в общей сумме 5</w:t>
      </w:r>
      <w:r>
        <w:t xml:space="preserve">00,0 тыс.рублей (уменьшаются БА по РПР 0111 «Резервные фонды», увеличиваются БА по РПР 0113 «Другие общегосударственные расходы»); </w:t>
      </w:r>
      <w:r/>
    </w:p>
    <w:p>
      <w:pPr>
        <w:pStyle w:val="940"/>
        <w:numPr>
          <w:ilvl w:val="0"/>
          <w:numId w:val="43"/>
        </w:numPr>
        <w:jc w:val="both"/>
      </w:pPr>
      <w:r>
        <w:t xml:space="preserve">с необходимость</w:t>
      </w:r>
      <w:r>
        <w:t xml:space="preserve">ю финансирования </w:t>
      </w:r>
      <w:r>
        <w:t xml:space="preserve">бюджетных</w:t>
      </w:r>
      <w:r>
        <w:t xml:space="preserve"> учреждений – МБУ ДО Каргатская детско-юношеская спортивная школа «Атлант» и МБУ ДО Каргатский дом детского творчеств</w:t>
      </w:r>
      <w:r>
        <w:t xml:space="preserve">а</w:t>
      </w:r>
      <w:r>
        <w:t xml:space="preserve">,</w:t>
      </w:r>
      <w:r>
        <w:t xml:space="preserve"> которые изменили тип с казённого на бюджетный</w:t>
      </w:r>
      <w:r>
        <w:t xml:space="preserve"> согласно постановления администрации Каргатского района №724/82п от 17.12.2024 г. Для этих целей в бюджете Каргатского района предусмотрен вид расходов 611</w:t>
      </w:r>
      <w:r>
        <w:t xml:space="preserve"> «</w:t>
      </w:r>
      <w:r>
        <w:t xml:space="preserve"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</w:r>
      <w:r>
        <w:t xml:space="preserve">»</w:t>
      </w:r>
      <w:r>
        <w:t xml:space="preserve"> и 612</w:t>
      </w:r>
      <w:r>
        <w:t xml:space="preserve"> «</w:t>
      </w:r>
      <w:r>
        <w:t xml:space="preserve">Субсидии бюджетным учреждениям на иные цели</w:t>
      </w:r>
      <w:r>
        <w:t xml:space="preserve">»;</w:t>
      </w:r>
      <w:r/>
    </w:p>
    <w:p>
      <w:pPr>
        <w:pStyle w:val="944"/>
        <w:jc w:val="both"/>
        <w:widowControl w:val="off"/>
        <w:rPr>
          <w:b w:val="0"/>
          <w:sz w:val="24"/>
        </w:rPr>
      </w:pPr>
      <w:r>
        <w:rPr>
          <w:b w:val="0"/>
          <w:sz w:val="24"/>
        </w:rPr>
      </w:r>
      <w:r/>
    </w:p>
    <w:p>
      <w:pPr>
        <w:pStyle w:val="940"/>
        <w:jc w:val="both"/>
        <w:rPr>
          <w:highlight w:val="yellow"/>
        </w:rPr>
      </w:pPr>
      <w:r>
        <w:rPr>
          <w:bCs/>
          <w:highlight w:val="yellow"/>
        </w:rPr>
        <w:t xml:space="preserve">        </w:t>
      </w:r>
      <w:r>
        <w:rPr>
          <w:highlight w:val="yellow"/>
        </w:rPr>
        <w:t xml:space="preserve"> </w:t>
      </w:r>
      <w:r>
        <w:rPr>
          <w:highlight w:val="yellow"/>
        </w:rPr>
      </w:r>
      <w:r/>
    </w:p>
    <w:p>
      <w:pPr>
        <w:pStyle w:val="940"/>
        <w:jc w:val="both"/>
        <w:rPr>
          <w:bCs/>
          <w:i/>
          <w:color w:val="222222"/>
          <w:shd w:val="clear" w:color="auto" w:fill="ffffff"/>
        </w:rPr>
      </w:pPr>
      <w:r>
        <w:rPr>
          <w:color w:val="222222"/>
          <w:shd w:val="clear" w:color="auto" w:fill="ffffff"/>
        </w:rPr>
        <w:t xml:space="preserve">П</w:t>
      </w:r>
      <w:r>
        <w:rPr>
          <w:color w:val="222222"/>
          <w:shd w:val="clear" w:color="auto" w:fill="ffffff"/>
        </w:rPr>
        <w:t xml:space="preserve">редла</w:t>
      </w:r>
      <w:r>
        <w:rPr>
          <w:color w:val="222222"/>
          <w:shd w:val="clear" w:color="auto" w:fill="ffffff"/>
        </w:rPr>
        <w:t xml:space="preserve">гается утвердить</w:t>
      </w:r>
      <w:r>
        <w:rPr>
          <w:color w:val="222222"/>
          <w:shd w:val="clear" w:color="auto" w:fill="ffffff"/>
        </w:rPr>
        <w:t xml:space="preserve"> </w:t>
      </w:r>
      <w:r>
        <w:rPr>
          <w:color w:val="222222"/>
          <w:u w:val="single"/>
          <w:shd w:val="clear" w:color="auto" w:fill="ffffff"/>
        </w:rPr>
        <w:t xml:space="preserve">в новой редакции</w:t>
      </w:r>
      <w:r>
        <w:rPr>
          <w:color w:val="222222"/>
          <w:shd w:val="clear" w:color="auto" w:fill="ffffff"/>
        </w:rPr>
        <w:t xml:space="preserve"> </w:t>
      </w:r>
      <w:r>
        <w:rPr>
          <w:i/>
        </w:rPr>
        <w:t xml:space="preserve">приложение № 16</w:t>
      </w:r>
      <w:r>
        <w:rPr>
          <w:i/>
        </w:rPr>
        <w:t xml:space="preserve"> «Источники финансирования де</w:t>
      </w:r>
      <w:r>
        <w:rPr>
          <w:i/>
        </w:rPr>
        <w:t xml:space="preserve">фицита районного бюджета на 20</w:t>
      </w:r>
      <w:r>
        <w:rPr>
          <w:i/>
        </w:rPr>
        <w:t xml:space="preserve">2</w:t>
      </w:r>
      <w:r>
        <w:rPr>
          <w:i/>
        </w:rPr>
        <w:t xml:space="preserve">5</w:t>
      </w:r>
      <w:r>
        <w:rPr>
          <w:i/>
        </w:rPr>
        <w:t xml:space="preserve"> год» таблица 1</w:t>
      </w:r>
      <w:r>
        <w:t xml:space="preserve"> (включены остатки средств районного бюджета на начало текущего финансового</w:t>
      </w:r>
      <w:r>
        <w:t xml:space="preserve"> года</w:t>
      </w:r>
      <w:r>
        <w:t xml:space="preserve">) и </w:t>
      </w:r>
      <w:r>
        <w:rPr>
          <w:i/>
          <w:iCs/>
        </w:rPr>
        <w:t xml:space="preserve">приложение №6 «</w:t>
      </w:r>
      <w:r>
        <w:rPr>
          <w:i/>
          <w:iCs/>
        </w:rPr>
        <w:t xml:space="preserve">Перечень муниципальных программ администрации Каргатского района Новосибирской области на  2025  год и плановый период 2026 и 2027  годов»</w:t>
      </w:r>
      <w:r>
        <w:rPr>
          <w:i/>
        </w:rPr>
        <w:t xml:space="preserve">;</w:t>
      </w:r>
      <w:r>
        <w:rPr>
          <w:i/>
          <w:iCs/>
          <w:color w:val="222222"/>
          <w:shd w:val="clear" w:color="auto" w:fill="ffffff"/>
        </w:rPr>
      </w:r>
      <w:r>
        <w:rPr>
          <w:i/>
          <w:iCs/>
        </w:rPr>
      </w:r>
    </w:p>
    <w:p>
      <w:pPr>
        <w:pStyle w:val="940"/>
        <w:jc w:val="both"/>
        <w:rPr>
          <w:i/>
        </w:rPr>
      </w:pPr>
      <w:r>
        <w:rPr>
          <w:i/>
        </w:rPr>
      </w:r>
      <w:r/>
    </w:p>
    <w:p>
      <w:pPr>
        <w:pStyle w:val="940"/>
        <w:jc w:val="both"/>
        <w:rPr>
          <w:i/>
        </w:rPr>
      </w:pPr>
      <w:r>
        <w:rPr>
          <w:i/>
        </w:rPr>
      </w:r>
      <w:r/>
    </w:p>
    <w:sectPr>
      <w:headerReference w:type="default" r:id="rId9"/>
      <w:headerReference w:type="even" r:id="rId10"/>
      <w:footnotePr/>
      <w:endnotePr/>
      <w:type w:val="nextPage"/>
      <w:pgSz w:w="11906" w:h="16838" w:orient="portrait"/>
      <w:pgMar w:top="284" w:right="567" w:bottom="284" w:left="1418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Wingdings">
    <w:panose1 w:val="05000000000000000000"/>
  </w:font>
  <w:font w:name="Symbol">
    <w:panose1 w:val="05050102010706020507"/>
  </w:font>
  <w:font w:name="Courier New">
    <w:panose1 w:val="02070309020205020404"/>
  </w:font>
  <w:font w:name="Verdana">
    <w:panose1 w:val="020B0604030504040204"/>
  </w:font>
  <w:font w:name="Calibri">
    <w:panose1 w:val="020F0502020204030204"/>
  </w:font>
  <w:font w:name="Tahom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7"/>
      <w:rPr>
        <w:rStyle w:val="948"/>
        <w:sz w:val="20"/>
        <w:szCs w:val="20"/>
      </w:rPr>
      <w:framePr w:wrap="around" w:vAnchor="text" w:hAnchor="margin" w:xAlign="center" w:y="1"/>
    </w:pPr>
    <w:r>
      <w:rPr>
        <w:rStyle w:val="948"/>
        <w:sz w:val="20"/>
        <w:szCs w:val="20"/>
      </w:rPr>
      <w:fldChar w:fldCharType="begin"/>
    </w:r>
    <w:r>
      <w:rPr>
        <w:rStyle w:val="948"/>
        <w:sz w:val="20"/>
        <w:szCs w:val="20"/>
      </w:rPr>
      <w:instrText xml:space="preserve">PAGE  </w:instrText>
    </w:r>
    <w:r>
      <w:rPr>
        <w:rStyle w:val="948"/>
        <w:sz w:val="20"/>
        <w:szCs w:val="20"/>
      </w:rPr>
      <w:fldChar w:fldCharType="separate"/>
    </w:r>
    <w:r>
      <w:rPr>
        <w:rStyle w:val="948"/>
        <w:sz w:val="20"/>
        <w:szCs w:val="20"/>
      </w:rPr>
      <w:t xml:space="preserve">2</w:t>
    </w:r>
    <w:r>
      <w:rPr>
        <w:rStyle w:val="948"/>
        <w:sz w:val="20"/>
        <w:szCs w:val="20"/>
      </w:rPr>
      <w:fldChar w:fldCharType="end"/>
    </w:r>
    <w:r>
      <w:rPr>
        <w:rStyle w:val="948"/>
        <w:sz w:val="20"/>
        <w:szCs w:val="20"/>
      </w:rPr>
    </w:r>
    <w:r/>
  </w:p>
  <w:p>
    <w:pPr>
      <w:pStyle w:val="947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7"/>
      <w:rPr>
        <w:rStyle w:val="948"/>
      </w:rPr>
      <w:framePr w:wrap="around" w:vAnchor="text" w:hAnchor="margin" w:xAlign="center" w:y="1"/>
    </w:pPr>
    <w:r>
      <w:rPr>
        <w:rStyle w:val="948"/>
      </w:rPr>
      <w:fldChar w:fldCharType="begin"/>
    </w:r>
    <w:r>
      <w:rPr>
        <w:rStyle w:val="948"/>
      </w:rPr>
      <w:instrText xml:space="preserve">PAGE  </w:instrText>
    </w:r>
    <w:r>
      <w:rPr>
        <w:rStyle w:val="948"/>
      </w:rPr>
      <w:fldChar w:fldCharType="end"/>
    </w:r>
    <w:r>
      <w:rPr>
        <w:rStyle w:val="948"/>
      </w:rPr>
    </w:r>
    <w:r/>
  </w:p>
  <w:p>
    <w:pPr>
      <w:pStyle w:val="947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40"/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940"/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940"/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940"/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940"/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940"/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940"/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940"/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940"/>
        <w:ind w:left="6480" w:hanging="18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pStyle w:val="940"/>
        <w:ind w:left="1364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940"/>
        <w:ind w:left="2084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940"/>
        <w:ind w:left="2804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940"/>
        <w:ind w:left="3524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940"/>
        <w:ind w:left="4244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940"/>
        <w:ind w:left="4964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940"/>
        <w:ind w:left="5684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940"/>
        <w:ind w:left="6404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940"/>
        <w:ind w:left="7124" w:hanging="360"/>
      </w:pPr>
      <w:rPr>
        <w:rFonts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40"/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940"/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940"/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940"/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940"/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940"/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940"/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940"/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940"/>
        <w:ind w:left="7189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40"/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940"/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940"/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940"/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940"/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940"/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940"/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940"/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940"/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40"/>
        <w:ind w:left="2041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940"/>
        <w:ind w:left="276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940"/>
        <w:ind w:left="3481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940"/>
        <w:ind w:left="420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940"/>
        <w:ind w:left="492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940"/>
        <w:ind w:left="5641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940"/>
        <w:ind w:left="636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940"/>
        <w:ind w:left="708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940"/>
        <w:ind w:left="7801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40"/>
        <w:ind w:left="2041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940"/>
        <w:ind w:left="276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940"/>
        <w:ind w:left="3481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940"/>
        <w:ind w:left="420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940"/>
        <w:ind w:left="492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940"/>
        <w:ind w:left="5641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940"/>
        <w:ind w:left="636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940"/>
        <w:ind w:left="708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940"/>
        <w:ind w:left="7801" w:hanging="18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pStyle w:val="940"/>
        <w:ind w:left="897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940"/>
        <w:ind w:left="1617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940"/>
        <w:ind w:left="2337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940"/>
        <w:ind w:left="3057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940"/>
        <w:ind w:left="3777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940"/>
        <w:ind w:left="4497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940"/>
        <w:ind w:left="5217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940"/>
        <w:ind w:left="5937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940"/>
        <w:ind w:left="6657" w:hanging="360"/>
      </w:pPr>
      <w:rPr>
        <w:rFonts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40"/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940"/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940"/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940"/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940"/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940"/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940"/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940"/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940"/>
        <w:ind w:left="6480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40"/>
        <w:ind w:left="28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940"/>
        <w:ind w:left="35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940"/>
        <w:ind w:left="426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940"/>
        <w:ind w:left="49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940"/>
        <w:ind w:left="57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940"/>
        <w:ind w:left="642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940"/>
        <w:ind w:left="71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940"/>
        <w:ind w:left="78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940"/>
        <w:ind w:left="85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40"/>
        <w:ind w:left="7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940"/>
        <w:ind w:left="15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940"/>
        <w:ind w:left="222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940"/>
        <w:ind w:left="29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940"/>
        <w:ind w:left="36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940"/>
        <w:ind w:left="438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940"/>
        <w:ind w:left="51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940"/>
        <w:ind w:left="58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940"/>
        <w:ind w:left="654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40"/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pStyle w:val="940"/>
        <w:ind w:left="1080" w:hanging="360"/>
      </w:pPr>
      <w:rPr>
        <w:i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pStyle w:val="940"/>
        <w:ind w:left="1800" w:hanging="720"/>
      </w:pPr>
      <w:rPr>
        <w:i w:val="0"/>
        <w:u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pStyle w:val="940"/>
        <w:ind w:left="2160" w:hanging="720"/>
      </w:pPr>
      <w:rPr>
        <w:i w:val="0"/>
        <w:u w:val="none"/>
      </w:rPr>
    </w:lvl>
    <w:lvl w:ilvl="4">
      <w:start w:val="1"/>
      <w:numFmt w:val="decimal"/>
      <w:isLgl w:val="false"/>
      <w:suff w:val="tab"/>
      <w:lvlText w:val="%1.%2.%3.%4.%5."/>
      <w:lvlJc w:val="left"/>
      <w:pPr>
        <w:pStyle w:val="940"/>
        <w:ind w:left="2880" w:hanging="1080"/>
      </w:pPr>
      <w:rPr>
        <w:i w:val="0"/>
        <w:u w:val="none"/>
      </w:rPr>
    </w:lvl>
    <w:lvl w:ilvl="5">
      <w:start w:val="1"/>
      <w:numFmt w:val="decimal"/>
      <w:isLgl w:val="false"/>
      <w:suff w:val="tab"/>
      <w:lvlText w:val="%1.%2.%3.%4.%5.%6."/>
      <w:lvlJc w:val="left"/>
      <w:pPr>
        <w:pStyle w:val="940"/>
        <w:ind w:left="3240" w:hanging="1080"/>
      </w:pPr>
      <w:rPr>
        <w:i w:val="0"/>
        <w:u w:val="none"/>
      </w:rPr>
    </w:lvl>
    <w:lvl w:ilvl="6">
      <w:start w:val="1"/>
      <w:numFmt w:val="decimal"/>
      <w:isLgl w:val="false"/>
      <w:suff w:val="tab"/>
      <w:lvlText w:val="%1.%2.%3.%4.%5.%6.%7."/>
      <w:lvlJc w:val="left"/>
      <w:pPr>
        <w:pStyle w:val="940"/>
        <w:ind w:left="3960" w:hanging="1440"/>
      </w:pPr>
      <w:rPr>
        <w:i w:val="0"/>
        <w:u w:val="none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40"/>
        <w:ind w:left="4320" w:hanging="1440"/>
      </w:pPr>
      <w:rPr>
        <w:i w:val="0"/>
        <w:u w:val="none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40"/>
        <w:ind w:left="5040" w:hanging="1800"/>
      </w:pPr>
      <w:rPr>
        <w:i w:val="0"/>
        <w:u w:val="none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pStyle w:val="940"/>
        <w:ind w:left="144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940"/>
        <w:ind w:left="216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940"/>
        <w:ind w:left="288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940"/>
        <w:ind w:left="360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940"/>
        <w:ind w:left="432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940"/>
        <w:ind w:left="504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940"/>
        <w:ind w:left="576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940"/>
        <w:ind w:left="648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940"/>
        <w:ind w:left="7200" w:hanging="360"/>
      </w:pPr>
      <w:rPr>
        <w:rFonts w:ascii="Wingdings" w:hAnsi="Wingdings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pStyle w:val="940"/>
        <w:ind w:left="1681" w:hanging="972"/>
      </w:pPr>
    </w:lvl>
    <w:lvl w:ilvl="1">
      <w:start w:val="1"/>
      <w:numFmt w:val="lowerLetter"/>
      <w:isLgl w:val="false"/>
      <w:suff w:val="tab"/>
      <w:lvlText w:val="%2."/>
      <w:lvlJc w:val="left"/>
      <w:pPr>
        <w:pStyle w:val="940"/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940"/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940"/>
        <w:ind w:left="3229" w:hanging="360"/>
        <w:tabs>
          <w:tab w:val="num" w:pos="3229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40"/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940"/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940"/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940"/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940"/>
        <w:ind w:left="6829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40"/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940"/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940"/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940"/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940"/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940"/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940"/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940"/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940"/>
        <w:ind w:left="6480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40"/>
        <w:ind w:left="24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940"/>
        <w:ind w:left="31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940"/>
        <w:ind w:left="390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940"/>
        <w:ind w:left="46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940"/>
        <w:ind w:left="53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940"/>
        <w:ind w:left="606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940"/>
        <w:ind w:left="67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940"/>
        <w:ind w:left="75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940"/>
        <w:ind w:left="8220" w:hanging="18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pStyle w:val="940"/>
        <w:ind w:left="1488" w:hanging="360"/>
        <w:tabs>
          <w:tab w:val="num" w:pos="1488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940"/>
        <w:ind w:left="2208" w:hanging="360"/>
        <w:tabs>
          <w:tab w:val="num" w:pos="2208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940"/>
        <w:ind w:left="2928" w:hanging="360"/>
        <w:tabs>
          <w:tab w:val="num" w:pos="2928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940"/>
        <w:ind w:left="3648" w:hanging="360"/>
        <w:tabs>
          <w:tab w:val="num" w:pos="3648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940"/>
        <w:ind w:left="4368" w:hanging="360"/>
        <w:tabs>
          <w:tab w:val="num" w:pos="4368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940"/>
        <w:ind w:left="5088" w:hanging="360"/>
        <w:tabs>
          <w:tab w:val="num" w:pos="5088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940"/>
        <w:ind w:left="5808" w:hanging="360"/>
        <w:tabs>
          <w:tab w:val="num" w:pos="5808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940"/>
        <w:ind w:left="6528" w:hanging="360"/>
        <w:tabs>
          <w:tab w:val="num" w:pos="6528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940"/>
        <w:ind w:left="7248" w:hanging="360"/>
        <w:tabs>
          <w:tab w:val="num" w:pos="7248" w:leader="none"/>
        </w:tabs>
      </w:pPr>
      <w:rPr>
        <w:rFonts w:ascii="Wingdings" w:hAnsi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pStyle w:val="940"/>
        <w:ind w:left="2401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940"/>
        <w:ind w:left="3121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940"/>
        <w:ind w:left="3841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940"/>
        <w:ind w:left="4561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940"/>
        <w:ind w:left="5281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940"/>
        <w:ind w:left="6001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940"/>
        <w:ind w:left="6721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940"/>
        <w:ind w:left="7441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940"/>
        <w:ind w:left="8161" w:hanging="360"/>
      </w:pPr>
      <w:rPr>
        <w:rFonts w:ascii="Wingdings" w:hAnsi="Wingdings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40"/>
        <w:ind w:left="360" w:hanging="360"/>
      </w:pPr>
    </w:lvl>
    <w:lvl w:ilvl="1">
      <w:start w:val="2"/>
      <w:numFmt w:val="decimal"/>
      <w:isLgl w:val="false"/>
      <w:suff w:val="tab"/>
      <w:lvlText w:val="%1.%2."/>
      <w:lvlJc w:val="left"/>
      <w:pPr>
        <w:pStyle w:val="940"/>
        <w:ind w:left="2508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40"/>
        <w:ind w:left="5016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40"/>
        <w:ind w:left="7164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40"/>
        <w:ind w:left="9672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40"/>
        <w:ind w:left="1182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40"/>
        <w:ind w:left="14328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40"/>
        <w:ind w:left="16476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40"/>
        <w:ind w:left="18984" w:hanging="180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pStyle w:val="940"/>
        <w:ind w:left="720" w:hanging="360"/>
      </w:pPr>
      <w:rPr>
        <w:b/>
      </w:rPr>
    </w:lvl>
    <w:lvl w:ilvl="1">
      <w:start w:val="1"/>
      <w:numFmt w:val="lowerLetter"/>
      <w:isLgl w:val="false"/>
      <w:suff w:val="tab"/>
      <w:lvlText w:val="%2."/>
      <w:lvlJc w:val="left"/>
      <w:pPr>
        <w:pStyle w:val="940"/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940"/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940"/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940"/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940"/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940"/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940"/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940"/>
        <w:ind w:left="6480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40"/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940"/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940"/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940"/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940"/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940"/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940"/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940"/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940"/>
        <w:ind w:left="6480" w:hanging="180"/>
      </w:p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pStyle w:val="940"/>
        <w:ind w:left="150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940"/>
        <w:ind w:left="222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940"/>
        <w:ind w:left="294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940"/>
        <w:ind w:left="366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940"/>
        <w:ind w:left="438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940"/>
        <w:ind w:left="510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940"/>
        <w:ind w:left="582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940"/>
        <w:ind w:left="654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940"/>
        <w:ind w:left="7260" w:hanging="360"/>
      </w:pPr>
      <w:rPr>
        <w:rFonts w:ascii="Wingdings" w:hAnsi="Wingdings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40"/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940"/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940"/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940"/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940"/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940"/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940"/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940"/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940"/>
        <w:ind w:left="6480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40"/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940"/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940"/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940"/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940"/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940"/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940"/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940"/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940"/>
        <w:ind w:left="6480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40"/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940"/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940"/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940"/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940"/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940"/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940"/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940"/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940"/>
        <w:ind w:left="6480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40"/>
        <w:ind w:left="24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940"/>
        <w:ind w:left="31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940"/>
        <w:ind w:left="390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940"/>
        <w:ind w:left="46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940"/>
        <w:ind w:left="53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940"/>
        <w:ind w:left="606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940"/>
        <w:ind w:left="67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940"/>
        <w:ind w:left="75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940"/>
        <w:ind w:left="8220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40"/>
        <w:ind w:left="144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940"/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940"/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940"/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940"/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940"/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940"/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940"/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940"/>
        <w:ind w:left="7200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40"/>
        <w:ind w:left="7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940"/>
        <w:ind w:left="15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940"/>
        <w:ind w:left="222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940"/>
        <w:ind w:left="29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940"/>
        <w:ind w:left="36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940"/>
        <w:ind w:left="438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940"/>
        <w:ind w:left="51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940"/>
        <w:ind w:left="58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940"/>
        <w:ind w:left="6540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40"/>
        <w:ind w:left="144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940"/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940"/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940"/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940"/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940"/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940"/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940"/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940"/>
        <w:ind w:left="7200" w:hanging="18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40"/>
        <w:ind w:left="720" w:hanging="360"/>
      </w:pPr>
      <w:rPr>
        <w:b w:val="0"/>
        <w:i w:val="0"/>
        <w:u w:val="none"/>
      </w:rPr>
    </w:lvl>
    <w:lvl w:ilvl="1">
      <w:start w:val="1"/>
      <w:numFmt w:val="lowerLetter"/>
      <w:isLgl w:val="false"/>
      <w:suff w:val="tab"/>
      <w:lvlText w:val="%2."/>
      <w:lvlJc w:val="left"/>
      <w:pPr>
        <w:pStyle w:val="940"/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940"/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940"/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940"/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940"/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940"/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940"/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940"/>
        <w:ind w:left="6480" w:hanging="180"/>
      </w:p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pStyle w:val="940"/>
        <w:ind w:left="644" w:hanging="360"/>
        <w:tabs>
          <w:tab w:val="num" w:pos="644" w:leader="none"/>
        </w:tabs>
      </w:pPr>
      <w:rPr>
        <w:rFonts w:ascii="Symbol" w:hAnsi="Symbol" w:cs="Times New Roman"/>
        <w:color w:val="000000"/>
      </w:rPr>
    </w:lvl>
    <w:lvl w:ilvl="1">
      <w:start w:val="1"/>
      <w:numFmt w:val="decimal"/>
      <w:isLgl w:val="false"/>
      <w:suff w:val="tab"/>
      <w:lvlText w:val="%2."/>
      <w:lvlJc w:val="left"/>
      <w:pPr>
        <w:pStyle w:val="940"/>
        <w:ind w:left="1440" w:hanging="360"/>
        <w:tabs>
          <w:tab w:val="num" w:pos="1440" w:leader="none"/>
        </w:tabs>
      </w:pPr>
      <w:rPr>
        <w:color w:val="000000"/>
      </w:rPr>
    </w:lvl>
    <w:lvl w:ilvl="2">
      <w:start w:val="1"/>
      <w:numFmt w:val="bullet"/>
      <w:isLgl w:val="false"/>
      <w:suff w:val="tab"/>
      <w:lvlText w:val=""/>
      <w:lvlJc w:val="left"/>
      <w:pPr>
        <w:pStyle w:val="940"/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decimal"/>
      <w:isLgl w:val="false"/>
      <w:suff w:val="tab"/>
      <w:lvlText w:val="%4."/>
      <w:lvlJc w:val="left"/>
      <w:pPr>
        <w:pStyle w:val="940"/>
        <w:ind w:left="2880" w:hanging="360"/>
        <w:tabs>
          <w:tab w:val="num" w:pos="2880" w:leader="none"/>
        </w:tabs>
      </w:pPr>
      <w:rPr>
        <w:color w:val="000000"/>
      </w:rPr>
    </w:lvl>
    <w:lvl w:ilvl="4">
      <w:start w:val="1"/>
      <w:numFmt w:val="bullet"/>
      <w:isLgl w:val="false"/>
      <w:suff w:val="tab"/>
      <w:lvlText w:val="o"/>
      <w:lvlJc w:val="left"/>
      <w:pPr>
        <w:pStyle w:val="940"/>
        <w:ind w:left="3600" w:hanging="360"/>
        <w:tabs>
          <w:tab w:val="num" w:pos="360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940"/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940"/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940"/>
        <w:ind w:left="5760" w:hanging="360"/>
        <w:tabs>
          <w:tab w:val="num" w:pos="576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940"/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pStyle w:val="940"/>
        <w:ind w:left="1004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940"/>
        <w:ind w:left="172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940"/>
        <w:ind w:left="2444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940"/>
        <w:ind w:left="316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940"/>
        <w:ind w:left="388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940"/>
        <w:ind w:left="4604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940"/>
        <w:ind w:left="532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940"/>
        <w:ind w:left="604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940"/>
        <w:ind w:left="6764" w:hanging="180"/>
      </w:p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pStyle w:val="940"/>
        <w:ind w:left="78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940"/>
        <w:ind w:left="150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940"/>
        <w:ind w:left="222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940"/>
        <w:ind w:left="294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940"/>
        <w:ind w:left="366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940"/>
        <w:ind w:left="438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940"/>
        <w:ind w:left="510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940"/>
        <w:ind w:left="582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940"/>
        <w:ind w:left="6540" w:hanging="360"/>
      </w:pPr>
      <w:rPr>
        <w:rFonts w:ascii="Wingdings" w:hAnsi="Wingdings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40"/>
        <w:ind w:left="144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940"/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940"/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940"/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940"/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940"/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940"/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940"/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940"/>
        <w:ind w:left="7200" w:hanging="180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pStyle w:val="940"/>
        <w:ind w:left="2506" w:hanging="972"/>
      </w:pPr>
    </w:lvl>
    <w:lvl w:ilvl="1">
      <w:start w:val="1"/>
      <w:numFmt w:val="lowerLetter"/>
      <w:isLgl w:val="false"/>
      <w:suff w:val="tab"/>
      <w:lvlText w:val="%2."/>
      <w:lvlJc w:val="left"/>
      <w:pPr>
        <w:pStyle w:val="940"/>
        <w:ind w:left="226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940"/>
        <w:ind w:left="2985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940"/>
        <w:ind w:left="370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940"/>
        <w:ind w:left="442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940"/>
        <w:ind w:left="5145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940"/>
        <w:ind w:left="586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940"/>
        <w:ind w:left="658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940"/>
        <w:ind w:left="7305" w:hanging="18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40"/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940"/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940"/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940"/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940"/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940"/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940"/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940"/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940"/>
        <w:ind w:left="6480" w:hanging="180"/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40"/>
        <w:ind w:left="360" w:hanging="360"/>
      </w:pPr>
    </w:lvl>
    <w:lvl w:ilvl="1">
      <w:start w:val="2"/>
      <w:numFmt w:val="decimal"/>
      <w:isLgl w:val="false"/>
      <w:suff w:val="tab"/>
      <w:lvlText w:val="%1.%2."/>
      <w:lvlJc w:val="left"/>
      <w:pPr>
        <w:pStyle w:val="940"/>
        <w:ind w:left="2868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40"/>
        <w:ind w:left="5736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40"/>
        <w:ind w:left="8244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40"/>
        <w:ind w:left="11112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40"/>
        <w:ind w:left="1362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40"/>
        <w:ind w:left="16488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40"/>
        <w:ind w:left="18996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40"/>
        <w:ind w:left="21864" w:hanging="1800"/>
      </w:p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pStyle w:val="940"/>
        <w:ind w:left="246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940"/>
        <w:ind w:left="318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940"/>
        <w:ind w:left="390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940"/>
        <w:ind w:left="462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940"/>
        <w:ind w:left="534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940"/>
        <w:ind w:left="606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940"/>
        <w:ind w:left="678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940"/>
        <w:ind w:left="750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940"/>
        <w:ind w:left="8220" w:hanging="360"/>
      </w:pPr>
      <w:rPr>
        <w:rFonts w:ascii="Wingdings" w:hAnsi="Wingdings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40"/>
        <w:ind w:left="360" w:hanging="360"/>
      </w:pPr>
      <w:rPr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pStyle w:val="940"/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940"/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940"/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940"/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940"/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940"/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940"/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940"/>
        <w:ind w:left="6480" w:hanging="180"/>
      </w:p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pStyle w:val="940"/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940"/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940"/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940"/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940"/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940"/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940"/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940"/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940"/>
        <w:ind w:left="6480" w:hanging="360"/>
      </w:pPr>
      <w:rPr>
        <w:rFonts w:ascii="Wingdings" w:hAnsi="Wingdings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40"/>
        <w:ind w:left="2041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940"/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940"/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940"/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940"/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940"/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940"/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940"/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940"/>
        <w:ind w:left="6480" w:hanging="180"/>
      </w:p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pStyle w:val="940"/>
        <w:ind w:left="1617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pStyle w:val="940"/>
        <w:ind w:left="2337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940"/>
        <w:ind w:left="3057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940"/>
        <w:ind w:left="3777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940"/>
        <w:ind w:left="4497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940"/>
        <w:ind w:left="5217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940"/>
        <w:ind w:left="5937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940"/>
        <w:ind w:left="6657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940"/>
        <w:ind w:left="7377" w:hanging="360"/>
      </w:pPr>
      <w:rPr>
        <w:rFonts w:ascii="Wingdings" w:hAnsi="Wingdings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40"/>
        <w:ind w:left="24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940"/>
        <w:ind w:left="31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940"/>
        <w:ind w:left="390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940"/>
        <w:ind w:left="46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940"/>
        <w:ind w:left="53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940"/>
        <w:ind w:left="606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940"/>
        <w:ind w:left="67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940"/>
        <w:ind w:left="75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940"/>
        <w:ind w:left="8220" w:hanging="180"/>
      </w:p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40"/>
        <w:ind w:left="22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940"/>
        <w:ind w:left="29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940"/>
        <w:ind w:left="366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940"/>
        <w:ind w:left="43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940"/>
        <w:ind w:left="51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940"/>
        <w:ind w:left="582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940"/>
        <w:ind w:left="65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940"/>
        <w:ind w:left="72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940"/>
        <w:ind w:left="7980" w:hanging="180"/>
      </w:pPr>
    </w:lvl>
  </w:abstractNum>
  <w:abstractNum w:abstractNumId="4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pStyle w:val="940"/>
        <w:ind w:left="1068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940"/>
        <w:ind w:left="216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940"/>
        <w:ind w:left="288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940"/>
        <w:ind w:left="360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940"/>
        <w:ind w:left="432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940"/>
        <w:ind w:left="504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940"/>
        <w:ind w:left="576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940"/>
        <w:ind w:left="648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940"/>
        <w:ind w:left="7200" w:hanging="360"/>
      </w:pPr>
      <w:rPr>
        <w:rFonts w:ascii="Wingdings" w:hAnsi="Wingdings"/>
      </w:rPr>
    </w:lvl>
  </w:abstractNum>
  <w:abstractNum w:abstractNumId="4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pStyle w:val="940"/>
        <w:ind w:left="78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940"/>
        <w:ind w:left="150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940"/>
        <w:ind w:left="222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940"/>
        <w:ind w:left="294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940"/>
        <w:ind w:left="366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940"/>
        <w:ind w:left="438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940"/>
        <w:ind w:left="510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940"/>
        <w:ind w:left="582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940"/>
        <w:ind w:left="6540" w:hanging="360"/>
      </w:pPr>
      <w:rPr>
        <w:rFonts w:ascii="Wingdings" w:hAnsi="Wingdings"/>
      </w:r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080" w:hanging="360"/>
      </w:pPr>
      <w:rPr>
        <w:i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00" w:hanging="720"/>
      </w:pPr>
      <w:rPr>
        <w:i w:val="0"/>
        <w:u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160" w:hanging="720"/>
      </w:pPr>
      <w:rPr>
        <w:i w:val="0"/>
        <w:u w:val="none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880" w:hanging="1080"/>
      </w:pPr>
      <w:rPr>
        <w:i w:val="0"/>
        <w:u w:val="none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240" w:hanging="1080"/>
      </w:pPr>
      <w:rPr>
        <w:i w:val="0"/>
        <w:u w:val="none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960" w:hanging="1440"/>
      </w:pPr>
      <w:rPr>
        <w:i w:val="0"/>
        <w:u w:val="none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320" w:hanging="1440"/>
      </w:pPr>
      <w:rPr>
        <w:i w:val="0"/>
        <w:u w:val="none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040" w:hanging="1800"/>
      </w:pPr>
      <w:rPr>
        <w:i w:val="0"/>
        <w:u w:val="none"/>
      </w:rPr>
    </w:lvl>
  </w:abstractNum>
  <w:num w:numId="1">
    <w:abstractNumId w:val="29"/>
  </w:num>
  <w:num w:numId="2">
    <w:abstractNumId w:val="15"/>
  </w:num>
  <w:num w:numId="3">
    <w:abstractNumId w:val="12"/>
  </w:num>
  <w:num w:numId="4">
    <w:abstractNumId w:val="36"/>
  </w:num>
  <w:num w:numId="5">
    <w:abstractNumId w:val="33"/>
  </w:num>
  <w:num w:numId="6">
    <w:abstractNumId w:val="16"/>
  </w:num>
  <w:num w:numId="7">
    <w:abstractNumId w:val="24"/>
  </w:num>
  <w:num w:numId="8">
    <w:abstractNumId w:val="14"/>
  </w:num>
  <w:num w:numId="9">
    <w:abstractNumId w:val="17"/>
  </w:num>
  <w:num w:numId="10">
    <w:abstractNumId w:val="35"/>
  </w:num>
  <w:num w:numId="11">
    <w:abstractNumId w:val="4"/>
  </w:num>
  <w:num w:numId="12">
    <w:abstractNumId w:val="1"/>
  </w:num>
  <w:num w:numId="13">
    <w:abstractNumId w:val="38"/>
  </w:num>
  <w:num w:numId="14">
    <w:abstractNumId w:val="30"/>
  </w:num>
  <w:num w:numId="15">
    <w:abstractNumId w:val="9"/>
  </w:num>
  <w:num w:numId="16">
    <w:abstractNumId w:val="20"/>
  </w:num>
  <w:num w:numId="17">
    <w:abstractNumId w:val="6"/>
  </w:num>
  <w:num w:numId="18">
    <w:abstractNumId w:val="5"/>
  </w:num>
  <w:num w:numId="19">
    <w:abstractNumId w:val="39"/>
  </w:num>
  <w:num w:numId="20">
    <w:abstractNumId w:val="8"/>
  </w:num>
  <w:num w:numId="21">
    <w:abstractNumId w:val="3"/>
  </w:num>
  <w:num w:numId="22">
    <w:abstractNumId w:val="37"/>
  </w:num>
  <w:num w:numId="23">
    <w:abstractNumId w:val="40"/>
  </w:num>
  <w:num w:numId="24">
    <w:abstractNumId w:val="19"/>
  </w:num>
  <w:num w:numId="25">
    <w:abstractNumId w:val="0"/>
  </w:num>
  <w:num w:numId="26">
    <w:abstractNumId w:val="26"/>
  </w:num>
  <w:num w:numId="27">
    <w:abstractNumId w:val="18"/>
  </w:num>
  <w:num w:numId="28">
    <w:abstractNumId w:val="41"/>
  </w:num>
  <w:num w:numId="29">
    <w:abstractNumId w:val="7"/>
  </w:num>
  <w:num w:numId="30">
    <w:abstractNumId w:val="2"/>
  </w:num>
  <w:num w:numId="31">
    <w:abstractNumId w:val="23"/>
  </w:num>
  <w:num w:numId="32">
    <w:abstractNumId w:val="34"/>
  </w:num>
  <w:num w:numId="33">
    <w:abstractNumId w:val="42"/>
  </w:num>
  <w:num w:numId="34">
    <w:abstractNumId w:val="21"/>
  </w:num>
  <w:num w:numId="35">
    <w:abstractNumId w:val="28"/>
  </w:num>
  <w:num w:numId="36">
    <w:abstractNumId w:val="32"/>
  </w:num>
  <w:num w:numId="37">
    <w:abstractNumId w:val="22"/>
  </w:num>
  <w:num w:numId="38">
    <w:abstractNumId w:val="13"/>
  </w:num>
  <w:num w:numId="39">
    <w:abstractNumId w:val="25"/>
  </w:num>
  <w:num w:numId="40">
    <w:abstractNumId w:val="27"/>
  </w:num>
  <w:num w:numId="41">
    <w:abstractNumId w:val="10"/>
  </w:num>
  <w:num w:numId="42">
    <w:abstractNumId w:val="11"/>
  </w:num>
  <w:num w:numId="43">
    <w:abstractNumId w:val="31"/>
  </w:num>
  <w:num w:numId="44">
    <w:abstractNumId w:val="43"/>
  </w:num>
  <w:num w:numId="45">
    <w:abstractNumId w:val="44"/>
  </w:num>
  <w:num w:numId="46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62">
    <w:name w:val="Heading 1"/>
    <w:basedOn w:val="940"/>
    <w:next w:val="940"/>
    <w:link w:val="76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63">
    <w:name w:val="Heading 1 Char"/>
    <w:link w:val="762"/>
    <w:uiPriority w:val="9"/>
    <w:rPr>
      <w:rFonts w:ascii="Arial" w:hAnsi="Arial" w:eastAsia="Arial" w:cs="Arial"/>
      <w:sz w:val="40"/>
      <w:szCs w:val="40"/>
    </w:rPr>
  </w:style>
  <w:style w:type="paragraph" w:styleId="764">
    <w:name w:val="Heading 2"/>
    <w:basedOn w:val="940"/>
    <w:next w:val="940"/>
    <w:link w:val="76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65">
    <w:name w:val="Heading 2 Char"/>
    <w:link w:val="764"/>
    <w:uiPriority w:val="9"/>
    <w:rPr>
      <w:rFonts w:ascii="Arial" w:hAnsi="Arial" w:eastAsia="Arial" w:cs="Arial"/>
      <w:sz w:val="34"/>
    </w:rPr>
  </w:style>
  <w:style w:type="paragraph" w:styleId="766">
    <w:name w:val="Heading 3"/>
    <w:basedOn w:val="940"/>
    <w:next w:val="940"/>
    <w:link w:val="76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67">
    <w:name w:val="Heading 3 Char"/>
    <w:link w:val="766"/>
    <w:uiPriority w:val="9"/>
    <w:rPr>
      <w:rFonts w:ascii="Arial" w:hAnsi="Arial" w:eastAsia="Arial" w:cs="Arial"/>
      <w:sz w:val="30"/>
      <w:szCs w:val="30"/>
    </w:rPr>
  </w:style>
  <w:style w:type="paragraph" w:styleId="768">
    <w:name w:val="Heading 4"/>
    <w:basedOn w:val="940"/>
    <w:next w:val="940"/>
    <w:link w:val="76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69">
    <w:name w:val="Heading 4 Char"/>
    <w:link w:val="768"/>
    <w:uiPriority w:val="9"/>
    <w:rPr>
      <w:rFonts w:ascii="Arial" w:hAnsi="Arial" w:eastAsia="Arial" w:cs="Arial"/>
      <w:b/>
      <w:bCs/>
      <w:sz w:val="26"/>
      <w:szCs w:val="26"/>
    </w:rPr>
  </w:style>
  <w:style w:type="paragraph" w:styleId="770">
    <w:name w:val="Heading 5"/>
    <w:basedOn w:val="940"/>
    <w:next w:val="940"/>
    <w:link w:val="77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71">
    <w:name w:val="Heading 5 Char"/>
    <w:link w:val="770"/>
    <w:uiPriority w:val="9"/>
    <w:rPr>
      <w:rFonts w:ascii="Arial" w:hAnsi="Arial" w:eastAsia="Arial" w:cs="Arial"/>
      <w:b/>
      <w:bCs/>
      <w:sz w:val="24"/>
      <w:szCs w:val="24"/>
    </w:rPr>
  </w:style>
  <w:style w:type="paragraph" w:styleId="772">
    <w:name w:val="Heading 6"/>
    <w:basedOn w:val="940"/>
    <w:next w:val="940"/>
    <w:link w:val="77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73">
    <w:name w:val="Heading 6 Char"/>
    <w:link w:val="772"/>
    <w:uiPriority w:val="9"/>
    <w:rPr>
      <w:rFonts w:ascii="Arial" w:hAnsi="Arial" w:eastAsia="Arial" w:cs="Arial"/>
      <w:b/>
      <w:bCs/>
      <w:sz w:val="22"/>
      <w:szCs w:val="22"/>
    </w:rPr>
  </w:style>
  <w:style w:type="paragraph" w:styleId="774">
    <w:name w:val="Heading 7"/>
    <w:basedOn w:val="940"/>
    <w:next w:val="940"/>
    <w:link w:val="77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75">
    <w:name w:val="Heading 7 Char"/>
    <w:link w:val="77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76">
    <w:name w:val="Heading 8"/>
    <w:basedOn w:val="940"/>
    <w:next w:val="940"/>
    <w:link w:val="77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77">
    <w:name w:val="Heading 8 Char"/>
    <w:link w:val="776"/>
    <w:uiPriority w:val="9"/>
    <w:rPr>
      <w:rFonts w:ascii="Arial" w:hAnsi="Arial" w:eastAsia="Arial" w:cs="Arial"/>
      <w:i/>
      <w:iCs/>
      <w:sz w:val="22"/>
      <w:szCs w:val="22"/>
    </w:rPr>
  </w:style>
  <w:style w:type="paragraph" w:styleId="778">
    <w:name w:val="Heading 9"/>
    <w:basedOn w:val="940"/>
    <w:next w:val="940"/>
    <w:link w:val="77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79">
    <w:name w:val="Heading 9 Char"/>
    <w:link w:val="778"/>
    <w:uiPriority w:val="9"/>
    <w:rPr>
      <w:rFonts w:ascii="Arial" w:hAnsi="Arial" w:eastAsia="Arial" w:cs="Arial"/>
      <w:i/>
      <w:iCs/>
      <w:sz w:val="21"/>
      <w:szCs w:val="21"/>
    </w:rPr>
  </w:style>
  <w:style w:type="paragraph" w:styleId="780">
    <w:name w:val="List Paragraph"/>
    <w:basedOn w:val="940"/>
    <w:uiPriority w:val="34"/>
    <w:qFormat/>
    <w:pPr>
      <w:contextualSpacing/>
      <w:ind w:left="720"/>
    </w:pPr>
  </w:style>
  <w:style w:type="paragraph" w:styleId="781">
    <w:name w:val="No Spacing"/>
    <w:uiPriority w:val="1"/>
    <w:qFormat/>
    <w:pPr>
      <w:spacing w:before="0" w:after="0" w:line="240" w:lineRule="auto"/>
    </w:pPr>
  </w:style>
  <w:style w:type="paragraph" w:styleId="782">
    <w:name w:val="Title"/>
    <w:basedOn w:val="940"/>
    <w:next w:val="940"/>
    <w:link w:val="78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83">
    <w:name w:val="Title Char"/>
    <w:link w:val="782"/>
    <w:uiPriority w:val="10"/>
    <w:rPr>
      <w:sz w:val="48"/>
      <w:szCs w:val="48"/>
    </w:rPr>
  </w:style>
  <w:style w:type="paragraph" w:styleId="784">
    <w:name w:val="Subtitle"/>
    <w:basedOn w:val="940"/>
    <w:next w:val="940"/>
    <w:link w:val="785"/>
    <w:uiPriority w:val="11"/>
    <w:qFormat/>
    <w:pPr>
      <w:spacing w:before="200" w:after="200"/>
    </w:pPr>
    <w:rPr>
      <w:sz w:val="24"/>
      <w:szCs w:val="24"/>
    </w:rPr>
  </w:style>
  <w:style w:type="character" w:styleId="785">
    <w:name w:val="Subtitle Char"/>
    <w:link w:val="784"/>
    <w:uiPriority w:val="11"/>
    <w:rPr>
      <w:sz w:val="24"/>
      <w:szCs w:val="24"/>
    </w:rPr>
  </w:style>
  <w:style w:type="paragraph" w:styleId="786">
    <w:name w:val="Quote"/>
    <w:basedOn w:val="940"/>
    <w:next w:val="940"/>
    <w:link w:val="787"/>
    <w:uiPriority w:val="29"/>
    <w:qFormat/>
    <w:pPr>
      <w:ind w:left="720" w:right="720"/>
    </w:pPr>
    <w:rPr>
      <w:i/>
    </w:rPr>
  </w:style>
  <w:style w:type="character" w:styleId="787">
    <w:name w:val="Quote Char"/>
    <w:link w:val="786"/>
    <w:uiPriority w:val="29"/>
    <w:rPr>
      <w:i/>
    </w:rPr>
  </w:style>
  <w:style w:type="paragraph" w:styleId="788">
    <w:name w:val="Intense Quote"/>
    <w:basedOn w:val="940"/>
    <w:next w:val="940"/>
    <w:link w:val="78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89">
    <w:name w:val="Intense Quote Char"/>
    <w:link w:val="788"/>
    <w:uiPriority w:val="30"/>
    <w:rPr>
      <w:i/>
    </w:rPr>
  </w:style>
  <w:style w:type="paragraph" w:styleId="790">
    <w:name w:val="Header"/>
    <w:basedOn w:val="940"/>
    <w:link w:val="79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91">
    <w:name w:val="Header Char"/>
    <w:link w:val="790"/>
    <w:uiPriority w:val="99"/>
  </w:style>
  <w:style w:type="paragraph" w:styleId="792">
    <w:name w:val="Footer"/>
    <w:basedOn w:val="940"/>
    <w:link w:val="79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93">
    <w:name w:val="Footer Char"/>
    <w:link w:val="792"/>
    <w:uiPriority w:val="99"/>
  </w:style>
  <w:style w:type="paragraph" w:styleId="794">
    <w:name w:val="Caption"/>
    <w:basedOn w:val="940"/>
    <w:next w:val="94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95">
    <w:name w:val="Caption Char"/>
    <w:basedOn w:val="794"/>
    <w:link w:val="792"/>
    <w:uiPriority w:val="99"/>
  </w:style>
  <w:style w:type="table" w:styleId="796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7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8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9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0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01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03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25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26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27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28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9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0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1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32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33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34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35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36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37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38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39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40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41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42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43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44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45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60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61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62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63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64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65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66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1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2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3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4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5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6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7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88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89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90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91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92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93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94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95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96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97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98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99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00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01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02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03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04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05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06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07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08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09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10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11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12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13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14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15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16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17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18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19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20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21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22">
    <w:name w:val="Hyperlink"/>
    <w:uiPriority w:val="99"/>
    <w:unhideWhenUsed/>
    <w:rPr>
      <w:color w:val="0000ff" w:themeColor="hyperlink"/>
      <w:u w:val="single"/>
    </w:rPr>
  </w:style>
  <w:style w:type="paragraph" w:styleId="923">
    <w:name w:val="footnote text"/>
    <w:basedOn w:val="940"/>
    <w:link w:val="924"/>
    <w:uiPriority w:val="99"/>
    <w:semiHidden/>
    <w:unhideWhenUsed/>
    <w:pPr>
      <w:spacing w:after="40" w:line="240" w:lineRule="auto"/>
    </w:pPr>
    <w:rPr>
      <w:sz w:val="18"/>
    </w:rPr>
  </w:style>
  <w:style w:type="character" w:styleId="924">
    <w:name w:val="Footnote Text Char"/>
    <w:link w:val="923"/>
    <w:uiPriority w:val="99"/>
    <w:rPr>
      <w:sz w:val="18"/>
    </w:rPr>
  </w:style>
  <w:style w:type="character" w:styleId="925">
    <w:name w:val="footnote reference"/>
    <w:uiPriority w:val="99"/>
    <w:unhideWhenUsed/>
    <w:rPr>
      <w:vertAlign w:val="superscript"/>
    </w:rPr>
  </w:style>
  <w:style w:type="paragraph" w:styleId="926">
    <w:name w:val="endnote text"/>
    <w:basedOn w:val="940"/>
    <w:link w:val="927"/>
    <w:uiPriority w:val="99"/>
    <w:semiHidden/>
    <w:unhideWhenUsed/>
    <w:pPr>
      <w:spacing w:after="0" w:line="240" w:lineRule="auto"/>
    </w:pPr>
    <w:rPr>
      <w:sz w:val="20"/>
    </w:rPr>
  </w:style>
  <w:style w:type="character" w:styleId="927">
    <w:name w:val="Endnote Text Char"/>
    <w:link w:val="926"/>
    <w:uiPriority w:val="99"/>
    <w:rPr>
      <w:sz w:val="20"/>
    </w:rPr>
  </w:style>
  <w:style w:type="character" w:styleId="928">
    <w:name w:val="endnote reference"/>
    <w:uiPriority w:val="99"/>
    <w:semiHidden/>
    <w:unhideWhenUsed/>
    <w:rPr>
      <w:vertAlign w:val="superscript"/>
    </w:rPr>
  </w:style>
  <w:style w:type="paragraph" w:styleId="929">
    <w:name w:val="toc 1"/>
    <w:basedOn w:val="940"/>
    <w:next w:val="940"/>
    <w:uiPriority w:val="39"/>
    <w:unhideWhenUsed/>
    <w:pPr>
      <w:ind w:left="0" w:right="0" w:firstLine="0"/>
      <w:spacing w:after="57"/>
    </w:pPr>
  </w:style>
  <w:style w:type="paragraph" w:styleId="930">
    <w:name w:val="toc 2"/>
    <w:basedOn w:val="940"/>
    <w:next w:val="940"/>
    <w:uiPriority w:val="39"/>
    <w:unhideWhenUsed/>
    <w:pPr>
      <w:ind w:left="283" w:right="0" w:firstLine="0"/>
      <w:spacing w:after="57"/>
    </w:pPr>
  </w:style>
  <w:style w:type="paragraph" w:styleId="931">
    <w:name w:val="toc 3"/>
    <w:basedOn w:val="940"/>
    <w:next w:val="940"/>
    <w:uiPriority w:val="39"/>
    <w:unhideWhenUsed/>
    <w:pPr>
      <w:ind w:left="567" w:right="0" w:firstLine="0"/>
      <w:spacing w:after="57"/>
    </w:pPr>
  </w:style>
  <w:style w:type="paragraph" w:styleId="932">
    <w:name w:val="toc 4"/>
    <w:basedOn w:val="940"/>
    <w:next w:val="940"/>
    <w:uiPriority w:val="39"/>
    <w:unhideWhenUsed/>
    <w:pPr>
      <w:ind w:left="850" w:right="0" w:firstLine="0"/>
      <w:spacing w:after="57"/>
    </w:pPr>
  </w:style>
  <w:style w:type="paragraph" w:styleId="933">
    <w:name w:val="toc 5"/>
    <w:basedOn w:val="940"/>
    <w:next w:val="940"/>
    <w:uiPriority w:val="39"/>
    <w:unhideWhenUsed/>
    <w:pPr>
      <w:ind w:left="1134" w:right="0" w:firstLine="0"/>
      <w:spacing w:after="57"/>
    </w:pPr>
  </w:style>
  <w:style w:type="paragraph" w:styleId="934">
    <w:name w:val="toc 6"/>
    <w:basedOn w:val="940"/>
    <w:next w:val="940"/>
    <w:uiPriority w:val="39"/>
    <w:unhideWhenUsed/>
    <w:pPr>
      <w:ind w:left="1417" w:right="0" w:firstLine="0"/>
      <w:spacing w:after="57"/>
    </w:pPr>
  </w:style>
  <w:style w:type="paragraph" w:styleId="935">
    <w:name w:val="toc 7"/>
    <w:basedOn w:val="940"/>
    <w:next w:val="940"/>
    <w:uiPriority w:val="39"/>
    <w:unhideWhenUsed/>
    <w:pPr>
      <w:ind w:left="1701" w:right="0" w:firstLine="0"/>
      <w:spacing w:after="57"/>
    </w:pPr>
  </w:style>
  <w:style w:type="paragraph" w:styleId="936">
    <w:name w:val="toc 8"/>
    <w:basedOn w:val="940"/>
    <w:next w:val="940"/>
    <w:uiPriority w:val="39"/>
    <w:unhideWhenUsed/>
    <w:pPr>
      <w:ind w:left="1984" w:right="0" w:firstLine="0"/>
      <w:spacing w:after="57"/>
    </w:pPr>
  </w:style>
  <w:style w:type="paragraph" w:styleId="937">
    <w:name w:val="toc 9"/>
    <w:basedOn w:val="940"/>
    <w:next w:val="940"/>
    <w:uiPriority w:val="39"/>
    <w:unhideWhenUsed/>
    <w:pPr>
      <w:ind w:left="2268" w:right="0" w:firstLine="0"/>
      <w:spacing w:after="57"/>
    </w:pPr>
  </w:style>
  <w:style w:type="paragraph" w:styleId="938">
    <w:name w:val="TOC Heading"/>
    <w:uiPriority w:val="39"/>
    <w:unhideWhenUsed/>
  </w:style>
  <w:style w:type="paragraph" w:styleId="939">
    <w:name w:val="table of figures"/>
    <w:basedOn w:val="940"/>
    <w:next w:val="940"/>
    <w:uiPriority w:val="99"/>
    <w:unhideWhenUsed/>
    <w:pPr>
      <w:spacing w:after="0" w:afterAutospacing="0"/>
    </w:pPr>
  </w:style>
  <w:style w:type="paragraph" w:styleId="940" w:default="1">
    <w:name w:val="Normal"/>
    <w:next w:val="940"/>
    <w:link w:val="940"/>
    <w:qFormat/>
    <w:rPr>
      <w:sz w:val="24"/>
      <w:szCs w:val="24"/>
      <w:lang w:val="ru-RU" w:eastAsia="ru-RU" w:bidi="ar-SA"/>
    </w:rPr>
  </w:style>
  <w:style w:type="character" w:styleId="941">
    <w:name w:val="Основной шрифт абзаца"/>
    <w:next w:val="941"/>
    <w:link w:val="940"/>
    <w:semiHidden/>
  </w:style>
  <w:style w:type="table" w:styleId="942">
    <w:name w:val="Обычная таблица"/>
    <w:next w:val="942"/>
    <w:link w:val="940"/>
    <w:semiHidden/>
    <w:tblPr/>
  </w:style>
  <w:style w:type="numbering" w:styleId="943">
    <w:name w:val="Нет списка"/>
    <w:next w:val="943"/>
    <w:link w:val="940"/>
    <w:semiHidden/>
  </w:style>
  <w:style w:type="paragraph" w:styleId="944">
    <w:name w:val="Основной текст"/>
    <w:basedOn w:val="940"/>
    <w:next w:val="944"/>
    <w:link w:val="973"/>
    <w:pPr>
      <w:jc w:val="center"/>
    </w:pPr>
    <w:rPr>
      <w:b/>
      <w:bCs/>
      <w:sz w:val="28"/>
    </w:rPr>
  </w:style>
  <w:style w:type="paragraph" w:styleId="945">
    <w:name w:val="ConsNormal"/>
    <w:next w:val="945"/>
    <w:link w:val="940"/>
    <w:pPr>
      <w:ind w:right="19772" w:firstLine="720"/>
    </w:pPr>
    <w:rPr>
      <w:rFonts w:ascii="Arial" w:hAnsi="Arial" w:cs="Arial"/>
      <w:lang w:val="ru-RU" w:eastAsia="ru-RU" w:bidi="ar-SA"/>
    </w:rPr>
  </w:style>
  <w:style w:type="paragraph" w:styleId="946">
    <w:name w:val="Основной текст с отступом"/>
    <w:basedOn w:val="940"/>
    <w:next w:val="946"/>
    <w:link w:val="940"/>
    <w:pPr>
      <w:ind w:left="283"/>
      <w:spacing w:after="120"/>
    </w:pPr>
  </w:style>
  <w:style w:type="paragraph" w:styleId="947">
    <w:name w:val="Верхний колонтитул"/>
    <w:basedOn w:val="940"/>
    <w:next w:val="947"/>
    <w:link w:val="967"/>
    <w:uiPriority w:val="99"/>
    <w:pPr>
      <w:tabs>
        <w:tab w:val="center" w:pos="4677" w:leader="none"/>
        <w:tab w:val="right" w:pos="9355" w:leader="none"/>
      </w:tabs>
    </w:pPr>
  </w:style>
  <w:style w:type="character" w:styleId="948">
    <w:name w:val="Номер страницы"/>
    <w:basedOn w:val="941"/>
    <w:next w:val="948"/>
    <w:link w:val="940"/>
  </w:style>
  <w:style w:type="paragraph" w:styleId="949">
    <w:name w:val="Нижний колонтитул"/>
    <w:basedOn w:val="940"/>
    <w:next w:val="949"/>
    <w:link w:val="940"/>
    <w:pPr>
      <w:tabs>
        <w:tab w:val="center" w:pos="4677" w:leader="none"/>
        <w:tab w:val="right" w:pos="9355" w:leader="none"/>
      </w:tabs>
    </w:pPr>
  </w:style>
  <w:style w:type="paragraph" w:styleId="950">
    <w:name w:val="Текст выноски"/>
    <w:basedOn w:val="940"/>
    <w:next w:val="950"/>
    <w:link w:val="940"/>
    <w:semiHidden/>
    <w:rPr>
      <w:rFonts w:ascii="Tahoma" w:hAnsi="Tahoma" w:cs="Tahoma"/>
      <w:sz w:val="16"/>
      <w:szCs w:val="16"/>
    </w:rPr>
  </w:style>
  <w:style w:type="paragraph" w:styleId="951">
    <w:name w:val="Normal1"/>
    <w:next w:val="951"/>
    <w:link w:val="940"/>
    <w:pPr>
      <w:ind w:firstLine="720"/>
      <w:jc w:val="both"/>
      <w:spacing w:before="60"/>
    </w:pPr>
    <w:rPr>
      <w:rFonts w:ascii="Arial" w:hAnsi="Arial"/>
      <w:sz w:val="24"/>
      <w:lang w:val="ru-RU" w:eastAsia="ru-RU" w:bidi="ar-SA"/>
    </w:rPr>
  </w:style>
  <w:style w:type="paragraph" w:styleId="952">
    <w:name w:val="ConsTitle"/>
    <w:next w:val="952"/>
    <w:link w:val="940"/>
    <w:pPr>
      <w:ind w:right="19772"/>
      <w:widowControl w:val="off"/>
    </w:pPr>
    <w:rPr>
      <w:rFonts w:ascii="Arial" w:hAnsi="Arial" w:cs="Arial"/>
      <w:b/>
      <w:bCs/>
      <w:lang w:val="ru-RU" w:eastAsia="ru-RU" w:bidi="ar-SA"/>
    </w:rPr>
  </w:style>
  <w:style w:type="paragraph" w:styleId="953">
    <w:name w:val="Основной текст с отступом 3"/>
    <w:basedOn w:val="940"/>
    <w:next w:val="953"/>
    <w:link w:val="940"/>
    <w:pPr>
      <w:ind w:left="283"/>
      <w:spacing w:after="120"/>
    </w:pPr>
    <w:rPr>
      <w:sz w:val="16"/>
      <w:szCs w:val="16"/>
    </w:rPr>
  </w:style>
  <w:style w:type="paragraph" w:styleId="954">
    <w:name w:val="Основной текст с отступом 2"/>
    <w:basedOn w:val="940"/>
    <w:next w:val="954"/>
    <w:link w:val="940"/>
    <w:pPr>
      <w:ind w:firstLine="709"/>
      <w:jc w:val="both"/>
      <w:shd w:val="clear" w:color="auto" w:fill="ffffff"/>
      <w:widowControl w:val="off"/>
    </w:pPr>
    <w:rPr>
      <w:color w:val="000000"/>
      <w:sz w:val="27"/>
      <w:szCs w:val="28"/>
    </w:rPr>
  </w:style>
  <w:style w:type="paragraph" w:styleId="955">
    <w:name w:val="Основной текст 2"/>
    <w:basedOn w:val="940"/>
    <w:next w:val="955"/>
    <w:link w:val="940"/>
    <w:pPr>
      <w:spacing w:after="120" w:line="480" w:lineRule="auto"/>
    </w:pPr>
  </w:style>
  <w:style w:type="paragraph" w:styleId="956">
    <w:name w:val="Абзац списка"/>
    <w:basedOn w:val="940"/>
    <w:next w:val="956"/>
    <w:link w:val="940"/>
    <w:uiPriority w:val="34"/>
    <w:qFormat/>
    <w:pPr>
      <w:contextualSpacing/>
      <w:ind w:left="720"/>
      <w:spacing w:after="200" w:line="276" w:lineRule="auto"/>
    </w:pPr>
    <w:rPr>
      <w:rFonts w:ascii="Calibri" w:hAnsi="Calibri"/>
      <w:sz w:val="22"/>
      <w:szCs w:val="22"/>
    </w:rPr>
  </w:style>
  <w:style w:type="paragraph" w:styleId="957">
    <w:name w:val="Heading"/>
    <w:next w:val="957"/>
    <w:link w:val="940"/>
    <w:rPr>
      <w:rFonts w:ascii="Arial" w:hAnsi="Arial" w:cs="Arial"/>
      <w:b/>
      <w:bCs/>
      <w:sz w:val="22"/>
      <w:szCs w:val="22"/>
      <w:lang w:val="ru-RU" w:eastAsia="ru-RU" w:bidi="ar-SA"/>
    </w:rPr>
  </w:style>
  <w:style w:type="paragraph" w:styleId="958">
    <w:name w:val=" Знак"/>
    <w:basedOn w:val="940"/>
    <w:next w:val="958"/>
    <w:link w:val="94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959">
    <w:name w:val="ConsPlusCell"/>
    <w:next w:val="959"/>
    <w:link w:val="940"/>
    <w:uiPriority w:val="99"/>
    <w:pPr>
      <w:widowControl w:val="off"/>
    </w:pPr>
    <w:rPr>
      <w:rFonts w:ascii="Arial" w:hAnsi="Arial" w:cs="Arial"/>
      <w:lang w:val="ru-RU" w:eastAsia="ru-RU" w:bidi="ar-SA"/>
    </w:rPr>
  </w:style>
  <w:style w:type="paragraph" w:styleId="960">
    <w:name w:val="Body Text Indent 2"/>
    <w:basedOn w:val="940"/>
    <w:next w:val="960"/>
    <w:link w:val="940"/>
    <w:pPr>
      <w:ind w:firstLine="426"/>
      <w:jc w:val="both"/>
    </w:pPr>
    <w:rPr>
      <w:sz w:val="28"/>
      <w:szCs w:val="20"/>
    </w:rPr>
  </w:style>
  <w:style w:type="character" w:styleId="961">
    <w:name w:val="Знак примечания"/>
    <w:next w:val="961"/>
    <w:link w:val="940"/>
    <w:rPr>
      <w:sz w:val="16"/>
      <w:szCs w:val="16"/>
    </w:rPr>
  </w:style>
  <w:style w:type="paragraph" w:styleId="962">
    <w:name w:val="Текст примечания"/>
    <w:basedOn w:val="940"/>
    <w:next w:val="962"/>
    <w:link w:val="963"/>
    <w:rPr>
      <w:sz w:val="20"/>
      <w:szCs w:val="20"/>
    </w:rPr>
  </w:style>
  <w:style w:type="character" w:styleId="963">
    <w:name w:val="Текст примечания Знак"/>
    <w:basedOn w:val="941"/>
    <w:next w:val="963"/>
    <w:link w:val="962"/>
  </w:style>
  <w:style w:type="paragraph" w:styleId="964">
    <w:name w:val="Тема примечания"/>
    <w:basedOn w:val="962"/>
    <w:next w:val="962"/>
    <w:link w:val="965"/>
    <w:rPr>
      <w:b/>
      <w:bCs/>
    </w:rPr>
  </w:style>
  <w:style w:type="character" w:styleId="965">
    <w:name w:val="Тема примечания Знак"/>
    <w:next w:val="965"/>
    <w:link w:val="964"/>
    <w:rPr>
      <w:b/>
      <w:bCs/>
    </w:rPr>
  </w:style>
  <w:style w:type="paragraph" w:styleId="966">
    <w:name w:val="ConsPlusNonformat"/>
    <w:next w:val="966"/>
    <w:link w:val="940"/>
    <w:uiPriority w:val="99"/>
    <w:rPr>
      <w:rFonts w:ascii="Courier New" w:hAnsi="Courier New" w:eastAsia="Calibri" w:cs="Courier New"/>
      <w:lang w:val="ru-RU" w:eastAsia="ru-RU" w:bidi="ar-SA"/>
    </w:rPr>
  </w:style>
  <w:style w:type="character" w:styleId="967">
    <w:name w:val="Верхний колонтитул Знак"/>
    <w:next w:val="967"/>
    <w:link w:val="947"/>
    <w:uiPriority w:val="99"/>
    <w:rPr>
      <w:sz w:val="24"/>
      <w:szCs w:val="24"/>
    </w:rPr>
  </w:style>
  <w:style w:type="character" w:styleId="968">
    <w:name w:val="apple-style-span"/>
    <w:basedOn w:val="941"/>
    <w:next w:val="968"/>
    <w:link w:val="940"/>
  </w:style>
  <w:style w:type="paragraph" w:styleId="969">
    <w:name w:val="headertext"/>
    <w:basedOn w:val="940"/>
    <w:next w:val="969"/>
    <w:link w:val="940"/>
    <w:pPr>
      <w:spacing w:before="100" w:beforeAutospacing="1" w:after="100" w:afterAutospacing="1"/>
    </w:pPr>
  </w:style>
  <w:style w:type="character" w:styleId="970">
    <w:name w:val="apple-converted-space"/>
    <w:basedOn w:val="941"/>
    <w:next w:val="970"/>
    <w:link w:val="940"/>
  </w:style>
  <w:style w:type="character" w:styleId="971">
    <w:name w:val="Гиперссылка"/>
    <w:next w:val="971"/>
    <w:link w:val="940"/>
    <w:uiPriority w:val="99"/>
    <w:unhideWhenUsed/>
    <w:rPr>
      <w:color w:val="0000ff"/>
      <w:u w:val="single"/>
    </w:rPr>
  </w:style>
  <w:style w:type="paragraph" w:styleId="972">
    <w:name w:val="ConsPlusTitle"/>
    <w:next w:val="972"/>
    <w:link w:val="940"/>
    <w:uiPriority w:val="99"/>
    <w:pPr>
      <w:widowControl w:val="off"/>
    </w:pPr>
    <w:rPr>
      <w:rFonts w:ascii="Calibri" w:hAnsi="Calibri" w:cs="Calibri"/>
      <w:b/>
      <w:bCs/>
      <w:sz w:val="22"/>
      <w:szCs w:val="22"/>
      <w:lang w:val="ru-RU" w:eastAsia="ru-RU" w:bidi="ar-SA"/>
    </w:rPr>
  </w:style>
  <w:style w:type="character" w:styleId="973">
    <w:name w:val="Основной текст Знак"/>
    <w:next w:val="973"/>
    <w:link w:val="944"/>
    <w:rPr>
      <w:b/>
      <w:bCs/>
      <w:sz w:val="28"/>
      <w:szCs w:val="24"/>
      <w:lang w:val="ru-RU" w:eastAsia="ru-RU" w:bidi="ar-SA"/>
    </w:rPr>
  </w:style>
  <w:style w:type="table" w:styleId="974">
    <w:name w:val="Изысканная таблица"/>
    <w:basedOn w:val="942"/>
    <w:next w:val="974"/>
    <w:link w:val="940"/>
    <w:tblPr/>
  </w:style>
  <w:style w:type="character" w:styleId="975" w:default="1">
    <w:name w:val="Default Paragraph Font"/>
    <w:uiPriority w:val="1"/>
    <w:semiHidden/>
    <w:unhideWhenUsed/>
  </w:style>
  <w:style w:type="numbering" w:styleId="976" w:default="1">
    <w:name w:val="No List"/>
    <w:uiPriority w:val="99"/>
    <w:semiHidden/>
    <w:unhideWhenUsed/>
  </w:style>
  <w:style w:type="table" w:styleId="977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Р7-Офис/7.2.2.36</Application>
  <Company>budget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УПРАВЛЕНИЕ ФИНАНСОВ И НАЛОГОВОЙ ПОЛИТИКИ</dc:title>
  <dc:creator>afonin</dc:creator>
  <cp:revision>935</cp:revision>
  <dcterms:created xsi:type="dcterms:W3CDTF">2013-03-02T08:27:00Z</dcterms:created>
  <dcterms:modified xsi:type="dcterms:W3CDTF">2025-02-03T07:11:39Z</dcterms:modified>
  <cp:version>1048576</cp:version>
</cp:coreProperties>
</file>